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tyles+xml" PartName="/word/style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1">
      <w:pPr>
        <w:spacing w:after="0" w:line="240" w:lineRule="auto"/>
        <w:contextualSpacing w:val="0"/>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Study Unit 9</w:t>
      </w:r>
    </w:p>
    <w:p w:rsidR="00000000" w:rsidDel="00000000" w:rsidP="00000000" w:rsidRDefault="00000000" w:rsidRPr="00000000" w14:paraId="00000002">
      <w:pPr>
        <w:spacing w:after="0" w:before="0" w:line="240" w:lineRule="auto"/>
        <w:contextualSpacing w:val="0"/>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3">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Discuss the five pillars of corporate governance and the issues which need to be addressed in each of these pillars. (10) May 2013</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center"/>
        <w:rPr>
          <w:rFonts w:ascii="Arial" w:cs="Arial" w:eastAsia="Arial" w:hAnsi="Arial"/>
          <w:b w:val="1"/>
          <w:i w:val="0"/>
          <w:smallCaps w:val="0"/>
          <w:strike w:val="0"/>
          <w:color w:val="0070c0"/>
          <w:sz w:val="24"/>
          <w:szCs w:val="24"/>
          <w:u w:val="none"/>
          <w:shd w:fill="auto" w:val="clear"/>
          <w:vertAlign w:val="baseline"/>
        </w:rPr>
      </w:pPr>
      <w:r w:rsidDel="00000000" w:rsidR="00000000" w:rsidRPr="00000000">
        <w:rPr>
          <w:rFonts w:ascii="Arial" w:cs="Arial" w:eastAsia="Arial" w:hAnsi="Arial"/>
          <w:b w:val="1"/>
          <w:i w:val="0"/>
          <w:smallCaps w:val="0"/>
          <w:strike w:val="0"/>
          <w:color w:val="0070c0"/>
          <w:sz w:val="24"/>
          <w:szCs w:val="24"/>
          <w:u w:val="none"/>
          <w:shd w:fill="auto" w:val="clear"/>
          <w:vertAlign w:val="baseline"/>
          <w:rtl w:val="0"/>
        </w:rPr>
        <w:t xml:space="preserve">Culture</w:t>
      </w:r>
    </w:p>
    <w:tbl>
      <w:tblPr>
        <w:tblStyle w:val="Table1"/>
        <w:tblW w:w="1044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0"/>
        <w:gridCol w:w="8280"/>
        <w:tblGridChange w:id="0">
          <w:tblGrid>
            <w:gridCol w:w="2160"/>
            <w:gridCol w:w="8280"/>
          </w:tblGrid>
        </w:tblGridChange>
      </w:tblGrid>
      <w:tr>
        <w:tc>
          <w:tcPr/>
          <w:p w:rsidR="00000000" w:rsidDel="00000000" w:rsidP="00000000" w:rsidRDefault="00000000" w:rsidRPr="00000000" w14:paraId="00000005">
            <w:pPr>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Aspects of culture that work against good governance</w:t>
            </w:r>
          </w:p>
        </w:tc>
        <w:tc>
          <w:tcPr/>
          <w:p w:rsidR="00000000" w:rsidDel="00000000" w:rsidP="00000000" w:rsidRDefault="00000000" w:rsidRPr="00000000" w14:paraId="00000006">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Unethical behavior </w:t>
            </w:r>
          </w:p>
          <w:p w:rsidR="00000000" w:rsidDel="00000000" w:rsidP="00000000" w:rsidRDefault="00000000" w:rsidRPr="00000000" w14:paraId="0000000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Excessive internal rivalry</w:t>
            </w:r>
          </w:p>
          <w:p w:rsidR="00000000" w:rsidDel="00000000" w:rsidP="00000000" w:rsidRDefault="00000000" w:rsidRPr="00000000" w14:paraId="0000000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Intolerance of failure</w:t>
            </w:r>
          </w:p>
          <w:p w:rsidR="00000000" w:rsidDel="00000000" w:rsidP="00000000" w:rsidRDefault="00000000" w:rsidRPr="00000000" w14:paraId="0000000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Propensity for risk taking</w:t>
            </w:r>
          </w:p>
          <w:p w:rsidR="00000000" w:rsidDel="00000000" w:rsidP="00000000" w:rsidRDefault="00000000" w:rsidRPr="00000000" w14:paraId="0000000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Secretiveness</w:t>
            </w:r>
          </w:p>
          <w:p w:rsidR="00000000" w:rsidDel="00000000" w:rsidP="00000000" w:rsidRDefault="00000000" w:rsidRPr="00000000" w14:paraId="0000000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Persecution of people who speak up</w:t>
            </w:r>
          </w:p>
        </w:tc>
      </w:tr>
      <w:tr>
        <w:tc>
          <w:tcPr/>
          <w:p w:rsidR="00000000" w:rsidDel="00000000" w:rsidP="00000000" w:rsidRDefault="00000000" w:rsidRPr="00000000" w14:paraId="0000000C">
            <w:pPr>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Questions to probe whether the company culture supports good governance</w:t>
            </w:r>
          </w:p>
        </w:tc>
        <w:tc>
          <w:tcPr/>
          <w:p w:rsidR="00000000" w:rsidDel="00000000" w:rsidP="00000000" w:rsidRDefault="00000000" w:rsidRPr="00000000" w14:paraId="0000000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the company beliefs and values openly articulated in mission statements, and do these include ethical concerns?</w:t>
            </w:r>
          </w:p>
          <w:p w:rsidR="00000000" w:rsidDel="00000000" w:rsidP="00000000" w:rsidRDefault="00000000" w:rsidRPr="00000000" w14:paraId="0000000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the culture temper drive for entrepreneurship and success with a tolerance for occasional failure?</w:t>
            </w:r>
          </w:p>
          <w:p w:rsidR="00000000" w:rsidDel="00000000" w:rsidP="00000000" w:rsidRDefault="00000000" w:rsidRPr="00000000" w14:paraId="0000000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employees feel free to bring problems to executives without fear of adverse consequences?</w:t>
            </w:r>
          </w:p>
          <w:p w:rsidR="00000000" w:rsidDel="00000000" w:rsidP="00000000" w:rsidRDefault="00000000" w:rsidRPr="00000000" w14:paraId="0000001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 organisation unduly concerned with meeting short-term earnings targets, and are fear and extreme pressure associated with missing numerical goals?</w:t>
            </w:r>
          </w:p>
          <w:p w:rsidR="00000000" w:rsidDel="00000000" w:rsidP="00000000" w:rsidRDefault="00000000" w:rsidRPr="00000000" w14:paraId="0000001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incentive plans in any way encourage unacceptable unethical and illegal behavior?</w:t>
            </w:r>
          </w:p>
        </w:tc>
      </w:tr>
      <w:tr>
        <w:tc>
          <w:tcPr/>
          <w:p w:rsidR="00000000" w:rsidDel="00000000" w:rsidP="00000000" w:rsidRDefault="00000000" w:rsidRPr="00000000" w14:paraId="00000012">
            <w:pPr>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How to address critical cultural weaknesses</w:t>
            </w:r>
          </w:p>
          <w:p w:rsidR="00000000" w:rsidDel="00000000" w:rsidP="00000000" w:rsidRDefault="00000000" w:rsidRPr="00000000" w14:paraId="00000013">
            <w:pPr>
              <w:spacing w:before="0" w:lineRule="auto"/>
              <w:contextualSpacing w:val="0"/>
              <w:rPr>
                <w:b w:val="1"/>
                <w:sz w:val="22"/>
                <w:szCs w:val="22"/>
              </w:rPr>
            </w:pPr>
            <w:r w:rsidDel="00000000" w:rsidR="00000000" w:rsidRPr="00000000">
              <w:rPr>
                <w:rtl w:val="0"/>
              </w:rPr>
            </w:r>
          </w:p>
        </w:tc>
        <w:tc>
          <w:tcPr/>
          <w:p w:rsidR="00000000" w:rsidDel="00000000" w:rsidP="00000000" w:rsidRDefault="00000000" w:rsidRPr="00000000" w14:paraId="0000001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Implementing new and stronger controls</w:t>
            </w:r>
          </w:p>
          <w:p w:rsidR="00000000" w:rsidDel="00000000" w:rsidP="00000000" w:rsidRDefault="00000000" w:rsidRPr="00000000" w14:paraId="0000001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Restructuring incentive systems</w:t>
            </w:r>
          </w:p>
          <w:p w:rsidR="00000000" w:rsidDel="00000000" w:rsidP="00000000" w:rsidRDefault="00000000" w:rsidRPr="00000000" w14:paraId="0000001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Educating employees</w:t>
            </w:r>
          </w:p>
          <w:p w:rsidR="00000000" w:rsidDel="00000000" w:rsidP="00000000" w:rsidRDefault="00000000" w:rsidRPr="00000000" w14:paraId="0000001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Creating communication programmes</w:t>
            </w:r>
          </w:p>
          <w:p w:rsidR="00000000" w:rsidDel="00000000" w:rsidP="00000000" w:rsidRDefault="00000000" w:rsidRPr="00000000" w14:paraId="0000001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Providing individual and team coaching</w:t>
            </w:r>
          </w:p>
        </w:tc>
      </w:tr>
    </w:tbl>
    <w:p w:rsidR="00000000" w:rsidDel="00000000" w:rsidP="00000000" w:rsidRDefault="00000000" w:rsidRPr="00000000" w14:paraId="00000019">
      <w:pPr>
        <w:spacing w:after="0" w:line="240" w:lineRule="auto"/>
        <w:contextualSpacing w:val="0"/>
        <w:rPr>
          <w:color w:val="990099"/>
        </w:rPr>
      </w:pPr>
      <w:r w:rsidDel="00000000" w:rsidR="00000000" w:rsidRPr="00000000">
        <w:rPr>
          <w:rtl w:val="0"/>
        </w:rPr>
      </w:r>
    </w:p>
    <w:p w:rsidR="00000000" w:rsidDel="00000000" w:rsidP="00000000" w:rsidRDefault="00000000" w:rsidRPr="00000000" w14:paraId="0000001A">
      <w:pPr>
        <w:spacing w:after="0" w:before="0" w:line="240" w:lineRule="auto"/>
        <w:contextualSpacing w:val="0"/>
        <w:jc w:val="center"/>
        <w:rPr>
          <w:rFonts w:ascii="Arial" w:cs="Arial" w:eastAsia="Arial" w:hAnsi="Arial"/>
          <w:b w:val="1"/>
          <w:color w:val="990099"/>
        </w:rPr>
      </w:pPr>
      <w:r w:rsidDel="00000000" w:rsidR="00000000" w:rsidRPr="00000000">
        <w:rPr>
          <w:rFonts w:ascii="Arial" w:cs="Arial" w:eastAsia="Arial" w:hAnsi="Arial"/>
          <w:b w:val="1"/>
          <w:color w:val="990099"/>
          <w:rtl w:val="0"/>
        </w:rPr>
        <w:t xml:space="preserve">Leadership</w:t>
      </w:r>
    </w:p>
    <w:tbl>
      <w:tblPr>
        <w:tblStyle w:val="Table2"/>
        <w:tblW w:w="1044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0"/>
        <w:gridCol w:w="8280"/>
        <w:tblGridChange w:id="0">
          <w:tblGrid>
            <w:gridCol w:w="2160"/>
            <w:gridCol w:w="8280"/>
          </w:tblGrid>
        </w:tblGridChange>
      </w:tblGrid>
      <w:tr>
        <w:tc>
          <w:tcPr/>
          <w:p w:rsidR="00000000" w:rsidDel="00000000" w:rsidP="00000000" w:rsidRDefault="00000000" w:rsidRPr="00000000" w14:paraId="0000001B">
            <w:pPr>
              <w:spacing w:after="0" w:lineRule="auto"/>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Aspects of leadership that can work against good governance</w:t>
            </w:r>
          </w:p>
          <w:p w:rsidR="00000000" w:rsidDel="00000000" w:rsidP="00000000" w:rsidRDefault="00000000" w:rsidRPr="00000000" w14:paraId="0000001C">
            <w:pPr>
              <w:spacing w:before="0" w:lineRule="auto"/>
              <w:contextualSpacing w:val="0"/>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1D">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Recklessness</w:t>
            </w:r>
          </w:p>
          <w:p w:rsidR="00000000" w:rsidDel="00000000" w:rsidP="00000000" w:rsidRDefault="00000000" w:rsidRPr="00000000" w14:paraId="0000001E">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Ruthlessness</w:t>
            </w:r>
          </w:p>
          <w:p w:rsidR="00000000" w:rsidDel="00000000" w:rsidP="00000000" w:rsidRDefault="00000000" w:rsidRPr="00000000" w14:paraId="0000001F">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Being a bullying leader</w:t>
            </w:r>
          </w:p>
          <w:p w:rsidR="00000000" w:rsidDel="00000000" w:rsidP="00000000" w:rsidRDefault="00000000" w:rsidRPr="00000000" w14:paraId="00000020">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Egotism</w:t>
            </w:r>
          </w:p>
          <w:p w:rsidR="00000000" w:rsidDel="00000000" w:rsidP="00000000" w:rsidRDefault="00000000" w:rsidRPr="00000000" w14:paraId="00000021">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Self-promotion</w:t>
            </w:r>
          </w:p>
          <w:p w:rsidR="00000000" w:rsidDel="00000000" w:rsidP="00000000" w:rsidRDefault="00000000" w:rsidRPr="00000000" w14:paraId="00000022">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Insensitivity to the company culture</w:t>
            </w:r>
          </w:p>
          <w:p w:rsidR="00000000" w:rsidDel="00000000" w:rsidP="00000000" w:rsidRDefault="00000000" w:rsidRPr="00000000" w14:paraId="00000023">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Single-mindedness</w:t>
            </w:r>
          </w:p>
          <w:p w:rsidR="00000000" w:rsidDel="00000000" w:rsidP="00000000" w:rsidRDefault="00000000" w:rsidRPr="00000000" w14:paraId="00000024">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Irrational behavior</w:t>
            </w:r>
          </w:p>
          <w:p w:rsidR="00000000" w:rsidDel="00000000" w:rsidP="00000000" w:rsidRDefault="00000000" w:rsidRPr="00000000" w14:paraId="00000025">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leader’s integrity</w:t>
            </w:r>
          </w:p>
        </w:tc>
      </w:tr>
      <w:tr>
        <w:tc>
          <w:tcPr/>
          <w:p w:rsidR="00000000" w:rsidDel="00000000" w:rsidP="00000000" w:rsidRDefault="00000000" w:rsidRPr="00000000" w14:paraId="00000026">
            <w:pPr>
              <w:spacing w:after="0" w:lineRule="auto"/>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Questions to assess the governance abilities of leaders</w:t>
            </w:r>
          </w:p>
          <w:p w:rsidR="00000000" w:rsidDel="00000000" w:rsidP="00000000" w:rsidRDefault="00000000" w:rsidRPr="00000000" w14:paraId="00000027">
            <w:pPr>
              <w:spacing w:before="0" w:lineRule="auto"/>
              <w:contextualSpacing w:val="0"/>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28">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 leadership considered charismatic and possessing extraordinary powers?</w:t>
            </w:r>
          </w:p>
          <w:p w:rsidR="00000000" w:rsidDel="00000000" w:rsidP="00000000" w:rsidRDefault="00000000" w:rsidRPr="00000000" w14:paraId="0000002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the leadership show an absence of reflection and unrealistically assess opportunities and constraints in the business environment?</w:t>
            </w:r>
          </w:p>
          <w:p w:rsidR="00000000" w:rsidDel="00000000" w:rsidP="00000000" w:rsidRDefault="00000000" w:rsidRPr="00000000" w14:paraId="0000002A">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leaders committed to developing the highest standards of corporate governance, managerial judgment and independence of mind their followers?</w:t>
            </w:r>
          </w:p>
          <w:p w:rsidR="00000000" w:rsidDel="00000000" w:rsidP="00000000" w:rsidRDefault="00000000" w:rsidRPr="00000000" w14:paraId="0000002B">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the leadership show sensitivity to the needs of all important stakeholders (Internal and external?)</w:t>
            </w:r>
          </w:p>
          <w:p w:rsidR="00000000" w:rsidDel="00000000" w:rsidP="00000000" w:rsidRDefault="00000000" w:rsidRPr="00000000" w14:paraId="0000002C">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the board ensure leaders are measured and motivated not only by stock valuations, but also by long-term strategic and ethical considerations?</w:t>
            </w:r>
          </w:p>
        </w:tc>
      </w:tr>
      <w:tr>
        <w:trPr>
          <w:trHeight w:val="60" w:hRule="atLeast"/>
        </w:trPr>
        <w:tc>
          <w:tcPr/>
          <w:p w:rsidR="00000000" w:rsidDel="00000000" w:rsidP="00000000" w:rsidRDefault="00000000" w:rsidRPr="00000000" w14:paraId="0000002D">
            <w:pPr>
              <w:spacing w:after="0" w:lineRule="auto"/>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How to address critical leadership</w:t>
            </w:r>
          </w:p>
          <w:p w:rsidR="00000000" w:rsidDel="00000000" w:rsidP="00000000" w:rsidRDefault="00000000" w:rsidRPr="00000000" w14:paraId="0000002E">
            <w:pPr>
              <w:spacing w:before="0" w:lineRule="auto"/>
              <w:contextualSpacing w:val="0"/>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2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Using value-based leadership</w:t>
            </w:r>
          </w:p>
          <w:p w:rsidR="00000000" w:rsidDel="00000000" w:rsidP="00000000" w:rsidRDefault="00000000" w:rsidRPr="00000000" w14:paraId="0000003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Setting an example</w:t>
            </w:r>
          </w:p>
          <w:p w:rsidR="00000000" w:rsidDel="00000000" w:rsidP="00000000" w:rsidRDefault="00000000" w:rsidRPr="00000000" w14:paraId="0000003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Establishing clear expectations of ethical conduct</w:t>
            </w:r>
          </w:p>
          <w:p w:rsidR="00000000" w:rsidDel="00000000" w:rsidP="00000000" w:rsidRDefault="00000000" w:rsidRPr="00000000" w14:paraId="00000032">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Providing feedback, coaching and support regarding ethical behaviour</w:t>
            </w:r>
          </w:p>
          <w:p w:rsidR="00000000" w:rsidDel="00000000" w:rsidP="00000000" w:rsidRDefault="00000000" w:rsidRPr="00000000" w14:paraId="0000003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Recognizing and rewarding behaviours that support organisational values</w:t>
            </w:r>
          </w:p>
          <w:p w:rsidR="00000000" w:rsidDel="00000000" w:rsidP="00000000" w:rsidRDefault="00000000" w:rsidRPr="00000000" w14:paraId="00000034">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Being aware of individual differences among subordinates</w:t>
            </w:r>
          </w:p>
          <w:p w:rsidR="00000000" w:rsidDel="00000000" w:rsidP="00000000" w:rsidRDefault="00000000" w:rsidRPr="00000000" w14:paraId="00000035">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Establishing leadership training and mentoring</w:t>
            </w:r>
          </w:p>
        </w:tc>
      </w:tr>
    </w:tbl>
    <w:p w:rsidR="00000000" w:rsidDel="00000000" w:rsidP="00000000" w:rsidRDefault="00000000" w:rsidRPr="00000000" w14:paraId="00000036">
      <w:pPr>
        <w:spacing w:after="0" w:line="240" w:lineRule="auto"/>
        <w:contextualSpacing w:val="0"/>
        <w:jc w:val="center"/>
        <w:rPr>
          <w:rFonts w:ascii="Arial" w:cs="Arial" w:eastAsia="Arial" w:hAnsi="Arial"/>
          <w:b w:val="1"/>
          <w:color w:val="339966"/>
        </w:rPr>
      </w:pPr>
      <w:r w:rsidDel="00000000" w:rsidR="00000000" w:rsidRPr="00000000">
        <w:rPr>
          <w:rtl w:val="0"/>
        </w:rPr>
      </w:r>
    </w:p>
    <w:p w:rsidR="00000000" w:rsidDel="00000000" w:rsidP="00000000" w:rsidRDefault="00000000" w:rsidRPr="00000000" w14:paraId="00000037">
      <w:pPr>
        <w:spacing w:after="0" w:before="0" w:line="240" w:lineRule="auto"/>
        <w:contextualSpacing w:val="0"/>
        <w:jc w:val="center"/>
        <w:rPr>
          <w:rFonts w:ascii="Arial" w:cs="Arial" w:eastAsia="Arial" w:hAnsi="Arial"/>
          <w:b w:val="1"/>
          <w:color w:val="339966"/>
        </w:rPr>
      </w:pPr>
      <w:r w:rsidDel="00000000" w:rsidR="00000000" w:rsidRPr="00000000">
        <w:rPr>
          <w:rtl w:val="0"/>
        </w:rPr>
      </w:r>
    </w:p>
    <w:p w:rsidR="00000000" w:rsidDel="00000000" w:rsidP="00000000" w:rsidRDefault="00000000" w:rsidRPr="00000000" w14:paraId="00000038">
      <w:pPr>
        <w:spacing w:after="0" w:before="0" w:line="240" w:lineRule="auto"/>
        <w:contextualSpacing w:val="0"/>
        <w:jc w:val="center"/>
        <w:rPr>
          <w:rFonts w:ascii="Arial" w:cs="Arial" w:eastAsia="Arial" w:hAnsi="Arial"/>
          <w:b w:val="1"/>
          <w:color w:val="339966"/>
        </w:rPr>
      </w:pPr>
      <w:r w:rsidDel="00000000" w:rsidR="00000000" w:rsidRPr="00000000">
        <w:rPr>
          <w:rFonts w:ascii="Arial" w:cs="Arial" w:eastAsia="Arial" w:hAnsi="Arial"/>
          <w:b w:val="1"/>
          <w:color w:val="339966"/>
          <w:rtl w:val="0"/>
        </w:rPr>
        <w:t xml:space="preserve">Alignment</w:t>
      </w:r>
    </w:p>
    <w:tbl>
      <w:tblPr>
        <w:tblStyle w:val="Table3"/>
        <w:tblW w:w="1044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0"/>
        <w:gridCol w:w="8280"/>
        <w:tblGridChange w:id="0">
          <w:tblGrid>
            <w:gridCol w:w="2160"/>
            <w:gridCol w:w="8280"/>
          </w:tblGrid>
        </w:tblGridChange>
      </w:tblGrid>
      <w:tr>
        <w:trPr>
          <w:trHeight w:val="1140" w:hRule="atLeast"/>
        </w:trPr>
        <w:tc>
          <w:tcPr/>
          <w:p w:rsidR="00000000" w:rsidDel="00000000" w:rsidP="00000000" w:rsidRDefault="00000000" w:rsidRPr="00000000" w14:paraId="00000039">
            <w:pPr>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Aspects of alignment that can work against good governance</w:t>
            </w:r>
          </w:p>
        </w:tc>
        <w:tc>
          <w:tcPr/>
          <w:p w:rsidR="00000000" w:rsidDel="00000000" w:rsidP="00000000" w:rsidRDefault="00000000" w:rsidRPr="00000000" w14:paraId="0000003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Inability to align key functions and their responsibilities in the face of rapidly changing environments</w:t>
            </w:r>
          </w:p>
          <w:p w:rsidR="00000000" w:rsidDel="00000000" w:rsidP="00000000" w:rsidRDefault="00000000" w:rsidRPr="00000000" w14:paraId="0000003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Conflicts between functions</w:t>
            </w:r>
          </w:p>
          <w:p w:rsidR="00000000" w:rsidDel="00000000" w:rsidP="00000000" w:rsidRDefault="00000000" w:rsidRPr="00000000" w14:paraId="0000003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Gaps in responsibility</w:t>
            </w:r>
          </w:p>
        </w:tc>
      </w:tr>
      <w:tr>
        <w:tc>
          <w:tcPr/>
          <w:p w:rsidR="00000000" w:rsidDel="00000000" w:rsidP="00000000" w:rsidRDefault="00000000" w:rsidRPr="00000000" w14:paraId="0000003D">
            <w:pPr>
              <w:spacing w:after="0" w:lineRule="auto"/>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Questions to judge whether the organisation alignment of capabilities is conductive to stronger good governance</w:t>
            </w:r>
          </w:p>
          <w:p w:rsidR="00000000" w:rsidDel="00000000" w:rsidP="00000000" w:rsidRDefault="00000000" w:rsidRPr="00000000" w14:paraId="0000003E">
            <w:pPr>
              <w:spacing w:before="0" w:lineRule="auto"/>
              <w:contextualSpacing w:val="0"/>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3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the company’s recent actions and performance show evidence of unfocused and misaligned priorities?</w:t>
            </w:r>
          </w:p>
          <w:p w:rsidR="00000000" w:rsidDel="00000000" w:rsidP="00000000" w:rsidRDefault="00000000" w:rsidRPr="00000000" w14:paraId="0000004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the board, senior executives and top management teams collectively have an understanding of the best practices in corporate governance and internal reporting and how these may be aligned?</w:t>
            </w:r>
          </w:p>
          <w:p w:rsidR="00000000" w:rsidDel="00000000" w:rsidP="00000000" w:rsidRDefault="00000000" w:rsidRPr="00000000" w14:paraId="0000004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Have the responsibilities of senior executives and governance committees been properly aligned to ensure compliance with regulations?</w:t>
            </w:r>
          </w:p>
          <w:p w:rsidR="00000000" w:rsidDel="00000000" w:rsidP="00000000" w:rsidRDefault="00000000" w:rsidRPr="00000000" w14:paraId="0000004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there regular communication between internal auditors, external auditors, and senior executives?</w:t>
            </w:r>
          </w:p>
          <w:p w:rsidR="00000000" w:rsidDel="00000000" w:rsidP="00000000" w:rsidRDefault="00000000" w:rsidRPr="00000000" w14:paraId="0000004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strategic planning processes encourage an appropriate balance of conservatism with entrepreneurship and risk avoidance with opportunity seeking?</w:t>
            </w:r>
          </w:p>
        </w:tc>
      </w:tr>
      <w:tr>
        <w:trPr>
          <w:trHeight w:val="60" w:hRule="atLeast"/>
        </w:trPr>
        <w:tc>
          <w:tcPr/>
          <w:p w:rsidR="00000000" w:rsidDel="00000000" w:rsidP="00000000" w:rsidRDefault="00000000" w:rsidRPr="00000000" w14:paraId="00000044">
            <w:pPr>
              <w:spacing w:after="0" w:lineRule="auto"/>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How to improve alignment</w:t>
            </w:r>
          </w:p>
          <w:p w:rsidR="00000000" w:rsidDel="00000000" w:rsidP="00000000" w:rsidRDefault="00000000" w:rsidRPr="00000000" w14:paraId="00000045">
            <w:pPr>
              <w:spacing w:before="0" w:lineRule="auto"/>
              <w:contextualSpacing w:val="0"/>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4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Ensuring strategy-making process, aligning performance objectives with risk propensity and regulatory demands on the firm</w:t>
            </w:r>
          </w:p>
          <w:p w:rsidR="00000000" w:rsidDel="00000000" w:rsidP="00000000" w:rsidRDefault="00000000" w:rsidRPr="00000000" w14:paraId="0000004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Aligning organisational changes and structural redesign with regulatory compliance and desired ethical standards and behavior</w:t>
            </w:r>
          </w:p>
          <w:p w:rsidR="00000000" w:rsidDel="00000000" w:rsidP="00000000" w:rsidRDefault="00000000" w:rsidRPr="00000000" w14:paraId="0000004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Designing new information and knowledge-management systems to support enterprise management</w:t>
            </w:r>
          </w:p>
          <w:p w:rsidR="00000000" w:rsidDel="00000000" w:rsidP="00000000" w:rsidRDefault="00000000" w:rsidRPr="00000000" w14:paraId="0000004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Creating new senior management integrating roles</w:t>
            </w:r>
          </w:p>
          <w:p w:rsidR="00000000" w:rsidDel="00000000" w:rsidP="00000000" w:rsidRDefault="00000000" w:rsidRPr="00000000" w14:paraId="0000004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Training and developing management to raise awareness about compliance issues  throughout the organisation</w:t>
            </w:r>
          </w:p>
        </w:tc>
      </w:tr>
    </w:tbl>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center"/>
        <w:rPr>
          <w:rFonts w:ascii="Arial" w:cs="Arial" w:eastAsia="Arial" w:hAnsi="Arial"/>
          <w:b w:val="1"/>
          <w:i w:val="0"/>
          <w:smallCaps w:val="0"/>
          <w:strike w:val="0"/>
          <w:color w:val="cc99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center"/>
        <w:rPr>
          <w:rFonts w:ascii="Arial" w:cs="Arial" w:eastAsia="Arial" w:hAnsi="Arial"/>
          <w:b w:val="1"/>
          <w:i w:val="0"/>
          <w:smallCaps w:val="0"/>
          <w:strike w:val="0"/>
          <w:color w:val="cc9900"/>
          <w:sz w:val="22"/>
          <w:szCs w:val="22"/>
          <w:u w:val="none"/>
          <w:shd w:fill="auto" w:val="clear"/>
          <w:vertAlign w:val="baseline"/>
        </w:rPr>
      </w:pPr>
      <w:r w:rsidDel="00000000" w:rsidR="00000000" w:rsidRPr="00000000">
        <w:rPr>
          <w:rFonts w:ascii="Arial" w:cs="Arial" w:eastAsia="Arial" w:hAnsi="Arial"/>
          <w:b w:val="1"/>
          <w:i w:val="0"/>
          <w:smallCaps w:val="0"/>
          <w:strike w:val="0"/>
          <w:color w:val="cc9900"/>
          <w:sz w:val="22"/>
          <w:szCs w:val="22"/>
          <w:u w:val="none"/>
          <w:shd w:fill="auto" w:val="clear"/>
          <w:vertAlign w:val="baseline"/>
          <w:rtl w:val="0"/>
        </w:rPr>
        <w:t xml:space="preserve">Structure</w:t>
      </w:r>
    </w:p>
    <w:tbl>
      <w:tblPr>
        <w:tblStyle w:val="Table4"/>
        <w:tblW w:w="1044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0"/>
        <w:gridCol w:w="8280"/>
        <w:tblGridChange w:id="0">
          <w:tblGrid>
            <w:gridCol w:w="2160"/>
            <w:gridCol w:w="8280"/>
          </w:tblGrid>
        </w:tblGridChange>
      </w:tblGrid>
      <w:tr>
        <w:tc>
          <w:tcPr/>
          <w:p w:rsidR="00000000" w:rsidDel="00000000" w:rsidP="00000000" w:rsidRDefault="00000000" w:rsidRPr="00000000" w14:paraId="0000004D">
            <w:pPr>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Aspects of structure that can affect good governance</w:t>
            </w:r>
          </w:p>
        </w:tc>
        <w:tc>
          <w:tcPr/>
          <w:p w:rsidR="00000000" w:rsidDel="00000000" w:rsidP="00000000" w:rsidRDefault="00000000" w:rsidRPr="00000000" w14:paraId="0000004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Appoint a large numbers of insiders on boards</w:t>
            </w:r>
          </w:p>
          <w:p w:rsidR="00000000" w:rsidDel="00000000" w:rsidP="00000000" w:rsidRDefault="00000000" w:rsidRPr="00000000" w14:paraId="0000004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Having a wrong structure of boards oversight committees which is conductive to fraud</w:t>
            </w:r>
          </w:p>
        </w:tc>
      </w:tr>
      <w:tr>
        <w:tc>
          <w:tcPr/>
          <w:p w:rsidR="00000000" w:rsidDel="00000000" w:rsidP="00000000" w:rsidRDefault="00000000" w:rsidRPr="00000000" w14:paraId="00000050">
            <w:pPr>
              <w:spacing w:after="0" w:lineRule="auto"/>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Question to judge whether the structure is conductive to good performance</w:t>
            </w:r>
          </w:p>
          <w:p w:rsidR="00000000" w:rsidDel="00000000" w:rsidP="00000000" w:rsidRDefault="00000000" w:rsidRPr="00000000" w14:paraId="00000051">
            <w:pPr>
              <w:spacing w:before="0" w:lineRule="auto"/>
              <w:contextualSpacing w:val="0"/>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5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the roles of chairman and CEO combined? If so, how are any conflicts of interest managed?</w:t>
            </w:r>
          </w:p>
          <w:p w:rsidR="00000000" w:rsidDel="00000000" w:rsidP="00000000" w:rsidRDefault="00000000" w:rsidRPr="00000000" w14:paraId="0000005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there an appropriate degree of diversity, and are outsiders on the board?</w:t>
            </w:r>
          </w:p>
          <w:p w:rsidR="00000000" w:rsidDel="00000000" w:rsidP="00000000" w:rsidRDefault="00000000" w:rsidRPr="00000000" w14:paraId="0000005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the organisation structure provide an effective system of checks and balances for governance and strategic decision making?</w:t>
            </w:r>
          </w:p>
          <w:p w:rsidR="00000000" w:rsidDel="00000000" w:rsidP="00000000" w:rsidRDefault="00000000" w:rsidRPr="00000000" w14:paraId="0000005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there strong roles for internal auditors with an appropriate structure of reporting for senior executives and board committees?</w:t>
            </w:r>
          </w:p>
          <w:p w:rsidR="00000000" w:rsidDel="00000000" w:rsidP="00000000" w:rsidRDefault="00000000" w:rsidRPr="00000000" w14:paraId="0000005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 responsibility for assessment of internal controls structured throughout the organisation?</w:t>
            </w:r>
          </w:p>
        </w:tc>
      </w:tr>
      <w:tr>
        <w:tc>
          <w:tcPr/>
          <w:p w:rsidR="00000000" w:rsidDel="00000000" w:rsidP="00000000" w:rsidRDefault="00000000" w:rsidRPr="00000000" w14:paraId="00000057">
            <w:pPr>
              <w:spacing w:after="0" w:lineRule="auto"/>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How to improve structure</w:t>
            </w:r>
          </w:p>
          <w:p w:rsidR="00000000" w:rsidDel="00000000" w:rsidP="00000000" w:rsidRDefault="00000000" w:rsidRPr="00000000" w14:paraId="00000058">
            <w:pPr>
              <w:spacing w:before="0" w:lineRule="auto"/>
              <w:contextualSpacing w:val="0"/>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5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Understanding the changing nature of risk organisation face as they grow and evolve</w:t>
            </w:r>
          </w:p>
          <w:p w:rsidR="00000000" w:rsidDel="00000000" w:rsidP="00000000" w:rsidRDefault="00000000" w:rsidRPr="00000000" w14:paraId="0000005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Understanding how major structural transformations lead to changes in strategic risk exposure</w:t>
            </w:r>
          </w:p>
          <w:p w:rsidR="00000000" w:rsidDel="00000000" w:rsidP="00000000" w:rsidRDefault="00000000" w:rsidRPr="00000000" w14:paraId="0000005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Designing improved strategic risk management practices into structural change programmes</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200" w:before="0" w:line="360" w:lineRule="auto"/>
              <w:ind w:left="36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5D">
      <w:pPr>
        <w:contextualSpacing w:val="0"/>
        <w:rPr/>
      </w:pPr>
      <w:r w:rsidDel="00000000" w:rsidR="00000000" w:rsidRPr="00000000">
        <w:rPr>
          <w:rtl w:val="0"/>
        </w:rPr>
      </w:r>
    </w:p>
    <w:p w:rsidR="00000000" w:rsidDel="00000000" w:rsidP="00000000" w:rsidRDefault="00000000" w:rsidRPr="00000000" w14:paraId="0000005E">
      <w:pPr>
        <w:contextualSpacing w:val="0"/>
        <w:rPr/>
      </w:pPr>
      <w:r w:rsidDel="00000000" w:rsidR="00000000" w:rsidRPr="00000000">
        <w:rPr>
          <w:rtl w:val="0"/>
        </w:rPr>
      </w:r>
    </w:p>
    <w:p w:rsidR="00000000" w:rsidDel="00000000" w:rsidP="00000000" w:rsidRDefault="00000000" w:rsidRPr="00000000" w14:paraId="0000005F">
      <w:pPr>
        <w:contextualSpacing w:val="0"/>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center"/>
        <w:rPr>
          <w:rFonts w:ascii="Arial" w:cs="Arial" w:eastAsia="Arial" w:hAnsi="Arial"/>
          <w:b w:val="1"/>
          <w:i w:val="0"/>
          <w:smallCaps w:val="0"/>
          <w:strike w:val="0"/>
          <w:color w:val="6699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center"/>
        <w:rPr>
          <w:rFonts w:ascii="Arial" w:cs="Arial" w:eastAsia="Arial" w:hAnsi="Arial"/>
          <w:b w:val="1"/>
          <w:i w:val="0"/>
          <w:smallCaps w:val="0"/>
          <w:strike w:val="0"/>
          <w:color w:val="669900"/>
          <w:sz w:val="24"/>
          <w:szCs w:val="24"/>
          <w:u w:val="none"/>
          <w:shd w:fill="auto" w:val="clear"/>
          <w:vertAlign w:val="baseline"/>
        </w:rPr>
      </w:pPr>
      <w:r w:rsidDel="00000000" w:rsidR="00000000" w:rsidRPr="00000000">
        <w:rPr>
          <w:rFonts w:ascii="Arial" w:cs="Arial" w:eastAsia="Arial" w:hAnsi="Arial"/>
          <w:b w:val="1"/>
          <w:i w:val="0"/>
          <w:smallCaps w:val="0"/>
          <w:strike w:val="0"/>
          <w:color w:val="669900"/>
          <w:sz w:val="24"/>
          <w:szCs w:val="24"/>
          <w:u w:val="none"/>
          <w:shd w:fill="auto" w:val="clear"/>
          <w:vertAlign w:val="baseline"/>
          <w:rtl w:val="0"/>
        </w:rPr>
        <w:t xml:space="preserve">Systems</w:t>
      </w:r>
    </w:p>
    <w:tbl>
      <w:tblPr>
        <w:tblStyle w:val="Table5"/>
        <w:tblW w:w="1044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60"/>
        <w:gridCol w:w="8280"/>
        <w:tblGridChange w:id="0">
          <w:tblGrid>
            <w:gridCol w:w="2160"/>
            <w:gridCol w:w="8280"/>
          </w:tblGrid>
        </w:tblGridChange>
      </w:tblGrid>
      <w:tr>
        <w:tc>
          <w:tcPr/>
          <w:p w:rsidR="00000000" w:rsidDel="00000000" w:rsidP="00000000" w:rsidRDefault="00000000" w:rsidRPr="00000000" w14:paraId="00000062">
            <w:pPr>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Aspects of systems that can affect good governance</w:t>
            </w:r>
          </w:p>
        </w:tc>
        <w:tc>
          <w:tcPr/>
          <w:p w:rsidR="00000000" w:rsidDel="00000000" w:rsidP="00000000" w:rsidRDefault="00000000" w:rsidRPr="00000000" w14:paraId="00000063">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Lack of strong financial controls</w:t>
            </w:r>
          </w:p>
          <w:p w:rsidR="00000000" w:rsidDel="00000000" w:rsidP="00000000" w:rsidRDefault="00000000" w:rsidRPr="00000000" w14:paraId="00000064">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Deficient internal control systems</w:t>
            </w:r>
          </w:p>
          <w:p w:rsidR="00000000" w:rsidDel="00000000" w:rsidP="00000000" w:rsidRDefault="00000000" w:rsidRPr="00000000" w14:paraId="0000006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20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Weak IT systems</w:t>
            </w:r>
          </w:p>
          <w:p w:rsidR="00000000" w:rsidDel="00000000" w:rsidP="00000000" w:rsidRDefault="00000000" w:rsidRPr="00000000" w14:paraId="00000066">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67">
            <w:pPr>
              <w:spacing w:after="0" w:lineRule="auto"/>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Questions to review the existing systems and their contributions to control, reporting, and risk management</w:t>
            </w:r>
          </w:p>
          <w:p w:rsidR="00000000" w:rsidDel="00000000" w:rsidP="00000000" w:rsidRDefault="00000000" w:rsidRPr="00000000" w14:paraId="00000068">
            <w:pPr>
              <w:spacing w:before="0" w:lineRule="auto"/>
              <w:contextualSpacing w:val="0"/>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69">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the company have an effective and standardized system of internal controls and financial reporting?</w:t>
            </w:r>
          </w:p>
          <w:p w:rsidR="00000000" w:rsidDel="00000000" w:rsidP="00000000" w:rsidRDefault="00000000" w:rsidRPr="00000000" w14:paraId="0000006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the company regularly assess changes in the business and regulations environments that have an effect on internal control systems?</w:t>
            </w:r>
          </w:p>
          <w:p w:rsidR="00000000" w:rsidDel="00000000" w:rsidP="00000000" w:rsidRDefault="00000000" w:rsidRPr="00000000" w14:paraId="0000006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systems can currently in place to identify, assess, and mitigate risks across the organisation?</w:t>
            </w:r>
          </w:p>
          <w:p w:rsidR="00000000" w:rsidDel="00000000" w:rsidP="00000000" w:rsidRDefault="00000000" w:rsidRPr="00000000" w14:paraId="0000006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200" w:before="0" w:line="360" w:lineRule="auto"/>
              <w:ind w:left="378" w:right="0" w:hanging="360"/>
              <w:contextualSpacing w:val="1"/>
              <w:jc w:val="left"/>
              <w:rPr>
                <w:b w:val="0"/>
                <w:i w:val="0"/>
                <w:smallCaps w:val="0"/>
                <w:strike w:val="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 organisation attempting to implement a framework and systems for IT governance that will be acceptable?</w:t>
            </w:r>
          </w:p>
        </w:tc>
      </w:tr>
    </w:tbl>
    <w:p w:rsidR="00000000" w:rsidDel="00000000" w:rsidP="00000000" w:rsidRDefault="00000000" w:rsidRPr="00000000" w14:paraId="0000006D">
      <w:pPr>
        <w:spacing w:after="0" w:line="240" w:lineRule="auto"/>
        <w:contextualSpacing w:val="0"/>
        <w:rPr/>
      </w:pPr>
      <w:r w:rsidDel="00000000" w:rsidR="00000000" w:rsidRPr="00000000">
        <w:rPr>
          <w:rtl w:val="0"/>
        </w:rPr>
      </w:r>
    </w:p>
    <w:p w:rsidR="00000000" w:rsidDel="00000000" w:rsidP="00000000" w:rsidRDefault="00000000" w:rsidRPr="00000000" w14:paraId="0000006E">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What is corporate governance and why is it important (4) May 2015, Oct 2015, May 2016, Oct 2016</w:t>
      </w:r>
    </w:p>
    <w:p w:rsidR="00000000" w:rsidDel="00000000" w:rsidP="00000000" w:rsidRDefault="00000000" w:rsidRPr="00000000" w14:paraId="0000006F">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70">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Corporate governance refers to the processes by which enterprises are directed, controlled and held to account. It is concerned with the performance of enterprises for the benefit of shareholders, stakeholders and economic growth. Corporate governance focuses on the conduct of boards of directors, managers and shareholders. It encompasses authority, accountability, stewardship, leadership, direction and control exercised in the enterprise. </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Corporate Governance is defined as set of relationships between a company’s management, its board, its shareholders and other stakeholders. Corporate governance provides the structure through which the objectives of the company are set, and the means of attaining those objectives and monitoring performance are determined. Good corporate governance should provide proper incentives for the board and management to pursue objectives that are in the interest of the company and its shareholders and should facilitate effective monitoring. </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Fraud and abuse have led to a greater awareness of the need for good corporate governance. </w:t>
      </w:r>
    </w:p>
    <w:p w:rsidR="00000000" w:rsidDel="00000000" w:rsidP="00000000" w:rsidRDefault="00000000" w:rsidRPr="00000000" w14:paraId="00000075">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Good governance is important for two reasons.</w:t>
      </w:r>
    </w:p>
    <w:p w:rsidR="00000000" w:rsidDel="00000000" w:rsidP="00000000" w:rsidRDefault="00000000" w:rsidRPr="00000000" w14:paraId="0000007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Firstly investor protection has increased with the enormous surge in share ownership and </w:t>
      </w:r>
    </w:p>
    <w:p w:rsidR="00000000" w:rsidDel="00000000" w:rsidP="00000000" w:rsidRDefault="00000000" w:rsidRPr="00000000" w14:paraId="0000007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creation of wealth can be increased by improving the performance of honestly managed and financially sound companies. </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Good governance is also important because it enables predictability, transparency, participation and accountability. </w:t>
      </w:r>
    </w:p>
    <w:p w:rsidR="00000000" w:rsidDel="00000000" w:rsidP="00000000" w:rsidRDefault="00000000" w:rsidRPr="00000000" w14:paraId="0000007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Predictability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refers to the consistent interpretation and enforcement of rules, procedures and regulations. </w:t>
      </w:r>
    </w:p>
    <w:p w:rsidR="00000000" w:rsidDel="00000000" w:rsidP="00000000" w:rsidRDefault="00000000" w:rsidRPr="00000000" w14:paraId="0000007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Transparency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enhances predictability and quality decision-making by ensuring that all relevant information is available and disclosed to all relevant stakeholders. </w:t>
      </w:r>
    </w:p>
    <w:p w:rsidR="00000000" w:rsidDel="00000000" w:rsidP="00000000" w:rsidRDefault="00000000" w:rsidRPr="00000000" w14:paraId="0000007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Participation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promotes fairness and justice. Transparency serves participation by providing stakeholders with the necessary information to participate in decision making processes and practices. </w:t>
      </w:r>
    </w:p>
    <w:p w:rsidR="00000000" w:rsidDel="00000000" w:rsidP="00000000" w:rsidRDefault="00000000" w:rsidRPr="00000000" w14:paraId="0000007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Accountability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requires enterprises to account for their actions. The account should explain the appropriateness, legality and morality of corporate actions. To support accountability practices, corporations should identify who is accountable, to whom they are accountable and for what they are accountable. The essence of good corporate governance is accountability.</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center"/>
        <w:rPr>
          <w:rFonts w:ascii="Arial" w:cs="Arial" w:eastAsia="Arial" w:hAnsi="Arial"/>
          <w:b w:val="1"/>
          <w:i w:val="0"/>
          <w:smallCaps w:val="0"/>
          <w:strike w:val="0"/>
          <w:color w:val="0070c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There are five pillars of corporate governance that are of importance and by attending to these elements, HR can play a strategic role at board level in leading the organization to develop an integrated and robust corporate governance process.</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83">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Discuss the role that human resource management should play in establishing corporate governance (5) Oct 2016</w:t>
      </w:r>
    </w:p>
    <w:p w:rsidR="00000000" w:rsidDel="00000000" w:rsidP="00000000" w:rsidRDefault="00000000" w:rsidRPr="00000000" w14:paraId="00000084">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85">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rtl w:val="0"/>
        </w:rPr>
        <w:t xml:space="preserve">HRM must provide objective recruitment and selection processes for independent and diverse board members, that is, board members with different skills, experience and backgrounds that will benefit the company. HRM must also provide orientation, training and ongoing development opportunities for the board, and must assess the board’s performance for both independent oversight and effectiveness. HRM must promote an ethical culture and autonomy among board members. The HRM activities of recruitment and selection, training and development, and performance management and remuneration have a critical role to play in developing and maintaining good corporate governance practices. These practices should not only be developed and maintained in terms of the board of directors, but also in terms of improving shareholder value through the development of human capital and upholding a company’s responsibilities to stakeholders, particularly its employees.</w:t>
      </w:r>
      <w:r w:rsidDel="00000000" w:rsidR="00000000" w:rsidRPr="00000000">
        <w:rPr>
          <w:rtl w:val="0"/>
        </w:rPr>
      </w:r>
    </w:p>
    <w:p w:rsidR="00000000" w:rsidDel="00000000" w:rsidP="00000000" w:rsidRDefault="00000000" w:rsidRPr="00000000" w14:paraId="00000086">
      <w:pPr>
        <w:spacing w:after="0" w:line="240" w:lineRule="auto"/>
        <w:contextualSpacing w:val="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7">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Which four characteristics could be used to determine good governance? (8) May 2017</w:t>
      </w:r>
    </w:p>
    <w:p w:rsidR="00000000" w:rsidDel="00000000" w:rsidP="00000000" w:rsidRDefault="00000000" w:rsidRPr="00000000" w14:paraId="00000088">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Good governance is also important because it enables predictability, transparency, participation and accountability. </w:t>
      </w:r>
    </w:p>
    <w:p w:rsidR="00000000" w:rsidDel="00000000" w:rsidP="00000000" w:rsidRDefault="00000000" w:rsidRPr="00000000" w14:paraId="0000008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Predictability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refers to the consistent interpretation and enforcement of rules, procedures and regulations. </w:t>
      </w:r>
    </w:p>
    <w:p w:rsidR="00000000" w:rsidDel="00000000" w:rsidP="00000000" w:rsidRDefault="00000000" w:rsidRPr="00000000" w14:paraId="0000008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Transparency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enhances predictability and quality decision-making by ensuring that all relevant information is available and disclosed to all relevant stakeholders. </w:t>
      </w:r>
    </w:p>
    <w:p w:rsidR="00000000" w:rsidDel="00000000" w:rsidP="00000000" w:rsidRDefault="00000000" w:rsidRPr="00000000" w14:paraId="0000008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Participation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promotes fairness and justice. Transparency serves participation by providing stakeholders with the necessary information to participate in decision making processes and practices. </w:t>
      </w:r>
    </w:p>
    <w:p w:rsidR="00000000" w:rsidDel="00000000" w:rsidP="00000000" w:rsidRDefault="00000000" w:rsidRPr="00000000" w14:paraId="0000008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Accountability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requires enterprises to account for their actions. The account should explain the appropriateness, legality and morality of corporate actions. To support accountability practices, corporations should identify who is accountable, to whom they are accountable and for what they are accountable. The essence of good corporate governance is accountability.</w:t>
      </w:r>
    </w:p>
    <w:p w:rsidR="00000000" w:rsidDel="00000000" w:rsidP="00000000" w:rsidRDefault="00000000" w:rsidRPr="00000000" w14:paraId="0000008D">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8E">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Discuss Corporate governance in terms of agency, stewardship and stakeholder theory (9) May 2017</w:t>
      </w:r>
    </w:p>
    <w:p w:rsidR="00000000" w:rsidDel="00000000" w:rsidP="00000000" w:rsidRDefault="00000000" w:rsidRPr="00000000" w14:paraId="0000008F">
      <w:pPr>
        <w:spacing w:after="0" w:line="240" w:lineRule="auto"/>
        <w:contextualSpacing w:val="0"/>
        <w:rPr>
          <w:rFonts w:ascii="Courier New" w:cs="Courier New" w:eastAsia="Courier New" w:hAnsi="Courier New"/>
          <w:color w:val="000000"/>
          <w:sz w:val="24"/>
          <w:szCs w:val="24"/>
        </w:rPr>
      </w:pPr>
      <w:r w:rsidDel="00000000" w:rsidR="00000000" w:rsidRPr="00000000">
        <w:rPr>
          <w:rtl w:val="0"/>
        </w:rPr>
      </w:r>
    </w:p>
    <w:p w:rsidR="00000000" w:rsidDel="00000000" w:rsidP="00000000" w:rsidRDefault="00000000" w:rsidRPr="00000000" w14:paraId="00000090">
      <w:pPr>
        <w:spacing w:after="18" w:line="240" w:lineRule="auto"/>
        <w:contextualSpacing w:val="0"/>
        <w:rPr>
          <w:rFonts w:ascii="Arial" w:cs="Arial" w:eastAsia="Arial" w:hAnsi="Arial"/>
          <w:color w:val="000000"/>
        </w:rPr>
      </w:pPr>
      <w:r w:rsidDel="00000000" w:rsidR="00000000" w:rsidRPr="00000000">
        <w:rPr>
          <w:rFonts w:ascii="Arial" w:cs="Arial" w:eastAsia="Arial" w:hAnsi="Arial"/>
          <w:b w:val="1"/>
          <w:color w:val="000000"/>
          <w:rtl w:val="0"/>
        </w:rPr>
        <w:t xml:space="preserve">Agency – </w:t>
      </w:r>
      <w:r w:rsidDel="00000000" w:rsidR="00000000" w:rsidRPr="00000000">
        <w:rPr>
          <w:rFonts w:ascii="Arial" w:cs="Arial" w:eastAsia="Arial" w:hAnsi="Arial"/>
          <w:color w:val="000000"/>
          <w:rtl w:val="0"/>
        </w:rPr>
        <w:t xml:space="preserve">because professional managers have superior knowledge and expertise, they may act opportunistically and gain advantage of firm’s owners. Managers may exercise their personal interests rather than maximize the interests of shareholders.</w:t>
      </w:r>
    </w:p>
    <w:p w:rsidR="00000000" w:rsidDel="00000000" w:rsidP="00000000" w:rsidRDefault="00000000" w:rsidRPr="00000000" w14:paraId="00000091">
      <w:pPr>
        <w:spacing w:after="18" w:line="240" w:lineRule="auto"/>
        <w:contextualSpacing w:val="0"/>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92">
      <w:pPr>
        <w:spacing w:after="18" w:line="240" w:lineRule="auto"/>
        <w:contextualSpacing w:val="0"/>
        <w:rPr>
          <w:rFonts w:ascii="Arial" w:cs="Arial" w:eastAsia="Arial" w:hAnsi="Arial"/>
          <w:color w:val="000000"/>
        </w:rPr>
      </w:pPr>
      <w:r w:rsidDel="00000000" w:rsidR="00000000" w:rsidRPr="00000000">
        <w:rPr>
          <w:rFonts w:ascii="Arial" w:cs="Arial" w:eastAsia="Arial" w:hAnsi="Arial"/>
          <w:b w:val="1"/>
          <w:color w:val="000000"/>
          <w:rtl w:val="0"/>
        </w:rPr>
        <w:t xml:space="preserve">Stewardship –</w:t>
      </w:r>
      <w:r w:rsidDel="00000000" w:rsidR="00000000" w:rsidRPr="00000000">
        <w:rPr>
          <w:rFonts w:ascii="Arial" w:cs="Arial" w:eastAsia="Arial" w:hAnsi="Arial"/>
          <w:color w:val="000000"/>
          <w:rtl w:val="0"/>
        </w:rPr>
        <w:t xml:space="preserve"> recognizes that managers as trustworthy stewards of resources entrusted to them. There is no conflict of interest between managers and owners. Mangers will work to achieve the objectives of shareholders and in doing so satisfy their own personal needs. The focus is on governance structures that facilitate and empower, rather than on those that simply monitor and control. </w:t>
      </w:r>
    </w:p>
    <w:p w:rsidR="00000000" w:rsidDel="00000000" w:rsidP="00000000" w:rsidRDefault="00000000" w:rsidRPr="00000000" w14:paraId="00000093">
      <w:pPr>
        <w:spacing w:after="0" w:line="240" w:lineRule="auto"/>
        <w:contextualSpacing w:val="0"/>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94">
      <w:pPr>
        <w:spacing w:after="0" w:line="240" w:lineRule="auto"/>
        <w:contextualSpacing w:val="0"/>
        <w:rPr>
          <w:rFonts w:ascii="Arial" w:cs="Arial" w:eastAsia="Arial" w:hAnsi="Arial"/>
          <w:color w:val="000000"/>
        </w:rPr>
      </w:pPr>
      <w:r w:rsidDel="00000000" w:rsidR="00000000" w:rsidRPr="00000000">
        <w:rPr>
          <w:rFonts w:ascii="Arial" w:cs="Arial" w:eastAsia="Arial" w:hAnsi="Arial"/>
          <w:b w:val="1"/>
          <w:color w:val="000000"/>
          <w:rtl w:val="0"/>
        </w:rPr>
        <w:t xml:space="preserve">Stakeholder theory –</w:t>
      </w:r>
      <w:r w:rsidDel="00000000" w:rsidR="00000000" w:rsidRPr="00000000">
        <w:rPr>
          <w:rFonts w:ascii="Arial" w:cs="Arial" w:eastAsia="Arial" w:hAnsi="Arial"/>
          <w:color w:val="000000"/>
          <w:rtl w:val="0"/>
        </w:rPr>
        <w:t xml:space="preserve"> corporation serve a broader social purpose than their responsibilities to shareholders. The board of directors are accountable for the interests of all stakeholders. These include employees, suppliers, customers as well as the disadvantaged natural environment. This accountability requires a boards performance to be measured by metrics other than shareholders wealth and profit. The balanced scorecard approach to managing performance is a good example of performance evaluations being aligned to the needs of multiple stakeholders.</w:t>
      </w:r>
    </w:p>
    <w:p w:rsidR="00000000" w:rsidDel="00000000" w:rsidP="00000000" w:rsidRDefault="00000000" w:rsidRPr="00000000" w14:paraId="00000095">
      <w:pPr>
        <w:spacing w:after="0" w:line="240" w:lineRule="auto"/>
        <w:contextualSpacing w:val="0"/>
        <w:rPr>
          <w:rFonts w:ascii="Arial" w:cs="Arial" w:eastAsia="Arial" w:hAnsi="Arial"/>
          <w:b w:val="1"/>
          <w:color w:val="0000ff"/>
        </w:rPr>
      </w:pPr>
      <w:r w:rsidDel="00000000" w:rsidR="00000000" w:rsidRPr="00000000">
        <w:rPr>
          <w:rtl w:val="0"/>
        </w:rPr>
      </w:r>
    </w:p>
    <w:sectPr>
      <w:footerReference r:id="rId6" w:type="default"/>
      <w:pgSz w:h="15840" w:w="12240"/>
      <w:pgMar w:bottom="720" w:top="720" w:left="720" w:right="72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Calibri"/>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pict>
        <v:rect id="_x0000_s3073" style="position:absolute;margin-left:0.0pt;margin-top:0.0pt;width:44.55pt;height:15.1pt;rotation:-180;flip:x;z-index:251660288;mso-position-horizontal:center;mso-position-horizontal-relative:marginight-margin-area;mso-position-vertical:center;mso-position-vertical-relative:textottom-margin-area;mso-height-relative:bottom-margin-area" filled="f" fillcolor="#c0504d [3205]" stroked="f" strokecolor="#4f81bd [3204]" strokeweight="2.25pt">
          <v:textbox inset=",0,,0" style="mso-next-textbox:#_x0000_s3073">
            <w:txbxContent>
              <w:p w:rsidR="007D7B7B" w:rsidDel="00000000" w:rsidP="00000000" w:rsidRDefault="00C11B74" w:rsidRPr="007D7B7B">
                <w:pPr>
                  <w:pBdr>
                    <w:top w:color="7f7f7f" w:space="1" w:sz="4" w:themeColor="background1" w:themeShade="00007F" w:val="single"/>
                  </w:pBdr>
                  <w:jc w:val="center"/>
                  <w:rPr>
                    <w:b w:val="1"/>
                    <w:sz w:val="24"/>
                  </w:rPr>
                </w:pPr>
                <w:r w:rsidDel="00000000" w:rsidR="00000000" w:rsidRPr="007D7B7B">
                  <w:rPr>
                    <w:b w:val="1"/>
                    <w:sz w:val="24"/>
                  </w:rPr>
                  <w:fldChar w:fldCharType="begin"/>
                </w:r>
                <w:r w:rsidDel="00000000" w:rsidR="007D7B7B" w:rsidRPr="007D7B7B">
                  <w:rPr>
                    <w:b w:val="1"/>
                    <w:sz w:val="24"/>
                  </w:rPr>
                  <w:instrText xml:space="preserve"> PAGE   \* MERGEFORMAT </w:instrText>
                </w:r>
                <w:r w:rsidDel="00000000" w:rsidR="00000000" w:rsidRPr="007D7B7B">
                  <w:rPr>
                    <w:b w:val="1"/>
                    <w:sz w:val="24"/>
                  </w:rPr>
                  <w:fldChar w:fldCharType="separate"/>
                </w:r>
                <w:r w:rsidDel="00000000" w:rsidR="00855448" w:rsidRPr="00000000">
                  <w:rPr>
                    <w:b w:val="1"/>
                    <w:noProof w:val="1"/>
                    <w:sz w:val="24"/>
                  </w:rPr>
                  <w:t>4</w:t>
                </w:r>
                <w:r w:rsidDel="00000000" w:rsidR="00000000" w:rsidRPr="007D7B7B">
                  <w:rPr>
                    <w:b w:val="1"/>
                    <w:sz w:val="24"/>
                  </w:rPr>
                  <w:fldChar w:fldCharType="end"/>
                </w:r>
              </w:p>
            </w:txbxContent>
          </v:textbox>
          <w10:wrap/>
        </v:rect>
      </w:pic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color w:val="000000"/>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360" w:hanging="360"/>
      </w:pPr>
      <w:rPr>
        <w:rFonts w:ascii="Noto Sans Symbols" w:cs="Noto Sans Symbols" w:eastAsia="Noto Sans Symbols" w:hAnsi="Noto Sans Symbols"/>
        <w:color w:val="000000"/>
        <w:sz w:val="20"/>
        <w:szCs w:val="2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
    <w:lvl w:ilvl="0">
      <w:start w:val="1"/>
      <w:numFmt w:val="bullet"/>
      <w:lvlText w:val="●"/>
      <w:lvlJc w:val="left"/>
      <w:pPr>
        <w:ind w:left="360" w:hanging="360"/>
      </w:pPr>
      <w:rPr>
        <w:rFonts w:ascii="Noto Sans Symbols" w:cs="Noto Sans Symbols" w:eastAsia="Noto Sans Symbols" w:hAnsi="Noto Sans Symbols"/>
        <w:color w:val="000000"/>
        <w:sz w:val="20"/>
        <w:szCs w:val="2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color w:val="000000"/>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360" w:hanging="360"/>
      </w:pPr>
      <w:rPr>
        <w:rFonts w:ascii="Noto Sans Symbols" w:cs="Noto Sans Symbols" w:eastAsia="Noto Sans Symbols" w:hAnsi="Noto Sans Symbols"/>
        <w:color w:val="000000"/>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378" w:hanging="360"/>
      </w:pPr>
      <w:rPr>
        <w:rFonts w:ascii="Noto Sans Symbols" w:cs="Noto Sans Symbols" w:eastAsia="Noto Sans Symbols" w:hAnsi="Noto Sans Symbols"/>
        <w:color w:val="000000"/>
        <w:sz w:val="20"/>
        <w:szCs w:val="20"/>
      </w:rPr>
    </w:lvl>
    <w:lvl w:ilvl="1">
      <w:start w:val="1"/>
      <w:numFmt w:val="bullet"/>
      <w:lvlText w:val="o"/>
      <w:lvlJc w:val="left"/>
      <w:pPr>
        <w:ind w:left="1098" w:hanging="360"/>
      </w:pPr>
      <w:rPr>
        <w:rFonts w:ascii="Courier New" w:cs="Courier New" w:eastAsia="Courier New" w:hAnsi="Courier New"/>
      </w:rPr>
    </w:lvl>
    <w:lvl w:ilvl="2">
      <w:start w:val="1"/>
      <w:numFmt w:val="bullet"/>
      <w:lvlText w:val="▪"/>
      <w:lvlJc w:val="left"/>
      <w:pPr>
        <w:ind w:left="1818" w:hanging="360"/>
      </w:pPr>
      <w:rPr>
        <w:rFonts w:ascii="Noto Sans Symbols" w:cs="Noto Sans Symbols" w:eastAsia="Noto Sans Symbols" w:hAnsi="Noto Sans Symbols"/>
      </w:rPr>
    </w:lvl>
    <w:lvl w:ilvl="3">
      <w:start w:val="1"/>
      <w:numFmt w:val="bullet"/>
      <w:lvlText w:val="●"/>
      <w:lvlJc w:val="left"/>
      <w:pPr>
        <w:ind w:left="2538" w:hanging="360"/>
      </w:pPr>
      <w:rPr>
        <w:rFonts w:ascii="Noto Sans Symbols" w:cs="Noto Sans Symbols" w:eastAsia="Noto Sans Symbols" w:hAnsi="Noto Sans Symbols"/>
      </w:rPr>
    </w:lvl>
    <w:lvl w:ilvl="4">
      <w:start w:val="1"/>
      <w:numFmt w:val="bullet"/>
      <w:lvlText w:val="o"/>
      <w:lvlJc w:val="left"/>
      <w:pPr>
        <w:ind w:left="3258" w:hanging="360"/>
      </w:pPr>
      <w:rPr>
        <w:rFonts w:ascii="Courier New" w:cs="Courier New" w:eastAsia="Courier New" w:hAnsi="Courier New"/>
      </w:rPr>
    </w:lvl>
    <w:lvl w:ilvl="5">
      <w:start w:val="1"/>
      <w:numFmt w:val="bullet"/>
      <w:lvlText w:val="▪"/>
      <w:lvlJc w:val="left"/>
      <w:pPr>
        <w:ind w:left="3978" w:hanging="360"/>
      </w:pPr>
      <w:rPr>
        <w:rFonts w:ascii="Noto Sans Symbols" w:cs="Noto Sans Symbols" w:eastAsia="Noto Sans Symbols" w:hAnsi="Noto Sans Symbols"/>
      </w:rPr>
    </w:lvl>
    <w:lvl w:ilvl="6">
      <w:start w:val="1"/>
      <w:numFmt w:val="bullet"/>
      <w:lvlText w:val="●"/>
      <w:lvlJc w:val="left"/>
      <w:pPr>
        <w:ind w:left="4698" w:hanging="360"/>
      </w:pPr>
      <w:rPr>
        <w:rFonts w:ascii="Noto Sans Symbols" w:cs="Noto Sans Symbols" w:eastAsia="Noto Sans Symbols" w:hAnsi="Noto Sans Symbols"/>
      </w:rPr>
    </w:lvl>
    <w:lvl w:ilvl="7">
      <w:start w:val="1"/>
      <w:numFmt w:val="bullet"/>
      <w:lvlText w:val="o"/>
      <w:lvlJc w:val="left"/>
      <w:pPr>
        <w:ind w:left="5418" w:hanging="360"/>
      </w:pPr>
      <w:rPr>
        <w:rFonts w:ascii="Courier New" w:cs="Courier New" w:eastAsia="Courier New" w:hAnsi="Courier New"/>
      </w:rPr>
    </w:lvl>
    <w:lvl w:ilvl="8">
      <w:start w:val="1"/>
      <w:numFmt w:val="bullet"/>
      <w:lvlText w:val="▪"/>
      <w:lvlJc w:val="left"/>
      <w:pPr>
        <w:ind w:left="6138" w:hanging="360"/>
      </w:pPr>
      <w:rPr>
        <w:rFonts w:ascii="Noto Sans Symbols" w:cs="Noto Sans Symbols" w:eastAsia="Noto Sans Symbols" w:hAnsi="Noto Sans Symbols"/>
      </w:rPr>
    </w:lvl>
  </w:abstractNum>
  <w:abstractNum w:abstractNumId="9">
    <w:lvl w:ilvl="0">
      <w:start w:val="1"/>
      <w:numFmt w:val="bullet"/>
      <w:lvlText w:val="●"/>
      <w:lvlJc w:val="left"/>
      <w:pPr>
        <w:ind w:left="360" w:hanging="360"/>
      </w:pPr>
      <w:rPr>
        <w:rFonts w:ascii="Noto Sans Symbols" w:cs="Noto Sans Symbols" w:eastAsia="Noto Sans Symbols" w:hAnsi="Noto Sans Symbols"/>
        <w:color w:val="000000"/>
        <w:sz w:val="20"/>
        <w:szCs w:val="2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0">
    <w:lvl w:ilvl="0">
      <w:start w:val="1"/>
      <w:numFmt w:val="bullet"/>
      <w:lvlText w:val="●"/>
      <w:lvlJc w:val="left"/>
      <w:pPr>
        <w:ind w:left="378" w:hanging="360"/>
      </w:pPr>
      <w:rPr>
        <w:rFonts w:ascii="Noto Sans Symbols" w:cs="Noto Sans Symbols" w:eastAsia="Noto Sans Symbols" w:hAnsi="Noto Sans Symbols"/>
        <w:color w:val="000000"/>
        <w:sz w:val="20"/>
        <w:szCs w:val="20"/>
      </w:rPr>
    </w:lvl>
    <w:lvl w:ilvl="1">
      <w:start w:val="1"/>
      <w:numFmt w:val="bullet"/>
      <w:lvlText w:val="o"/>
      <w:lvlJc w:val="left"/>
      <w:pPr>
        <w:ind w:left="1098" w:hanging="360"/>
      </w:pPr>
      <w:rPr>
        <w:rFonts w:ascii="Courier New" w:cs="Courier New" w:eastAsia="Courier New" w:hAnsi="Courier New"/>
      </w:rPr>
    </w:lvl>
    <w:lvl w:ilvl="2">
      <w:start w:val="1"/>
      <w:numFmt w:val="bullet"/>
      <w:lvlText w:val="▪"/>
      <w:lvlJc w:val="left"/>
      <w:pPr>
        <w:ind w:left="1818" w:hanging="360"/>
      </w:pPr>
      <w:rPr>
        <w:rFonts w:ascii="Noto Sans Symbols" w:cs="Noto Sans Symbols" w:eastAsia="Noto Sans Symbols" w:hAnsi="Noto Sans Symbols"/>
      </w:rPr>
    </w:lvl>
    <w:lvl w:ilvl="3">
      <w:start w:val="1"/>
      <w:numFmt w:val="bullet"/>
      <w:lvlText w:val="●"/>
      <w:lvlJc w:val="left"/>
      <w:pPr>
        <w:ind w:left="2538" w:hanging="360"/>
      </w:pPr>
      <w:rPr>
        <w:rFonts w:ascii="Noto Sans Symbols" w:cs="Noto Sans Symbols" w:eastAsia="Noto Sans Symbols" w:hAnsi="Noto Sans Symbols"/>
      </w:rPr>
    </w:lvl>
    <w:lvl w:ilvl="4">
      <w:start w:val="1"/>
      <w:numFmt w:val="bullet"/>
      <w:lvlText w:val="o"/>
      <w:lvlJc w:val="left"/>
      <w:pPr>
        <w:ind w:left="3258" w:hanging="360"/>
      </w:pPr>
      <w:rPr>
        <w:rFonts w:ascii="Courier New" w:cs="Courier New" w:eastAsia="Courier New" w:hAnsi="Courier New"/>
      </w:rPr>
    </w:lvl>
    <w:lvl w:ilvl="5">
      <w:start w:val="1"/>
      <w:numFmt w:val="bullet"/>
      <w:lvlText w:val="▪"/>
      <w:lvlJc w:val="left"/>
      <w:pPr>
        <w:ind w:left="3978" w:hanging="360"/>
      </w:pPr>
      <w:rPr>
        <w:rFonts w:ascii="Noto Sans Symbols" w:cs="Noto Sans Symbols" w:eastAsia="Noto Sans Symbols" w:hAnsi="Noto Sans Symbols"/>
      </w:rPr>
    </w:lvl>
    <w:lvl w:ilvl="6">
      <w:start w:val="1"/>
      <w:numFmt w:val="bullet"/>
      <w:lvlText w:val="●"/>
      <w:lvlJc w:val="left"/>
      <w:pPr>
        <w:ind w:left="4698" w:hanging="360"/>
      </w:pPr>
      <w:rPr>
        <w:rFonts w:ascii="Noto Sans Symbols" w:cs="Noto Sans Symbols" w:eastAsia="Noto Sans Symbols" w:hAnsi="Noto Sans Symbols"/>
      </w:rPr>
    </w:lvl>
    <w:lvl w:ilvl="7">
      <w:start w:val="1"/>
      <w:numFmt w:val="bullet"/>
      <w:lvlText w:val="o"/>
      <w:lvlJc w:val="left"/>
      <w:pPr>
        <w:ind w:left="5418" w:hanging="360"/>
      </w:pPr>
      <w:rPr>
        <w:rFonts w:ascii="Courier New" w:cs="Courier New" w:eastAsia="Courier New" w:hAnsi="Courier New"/>
      </w:rPr>
    </w:lvl>
    <w:lvl w:ilvl="8">
      <w:start w:val="1"/>
      <w:numFmt w:val="bullet"/>
      <w:lvlText w:val="▪"/>
      <w:lvlJc w:val="left"/>
      <w:pPr>
        <w:ind w:left="6138" w:hanging="360"/>
      </w:pPr>
      <w:rPr>
        <w:rFonts w:ascii="Noto Sans Symbols" w:cs="Noto Sans Symbols" w:eastAsia="Noto Sans Symbols" w:hAnsi="Noto Sans Symbols"/>
      </w:rPr>
    </w:lvl>
  </w:abstractNum>
  <w:abstractNum w:abstractNumId="11">
    <w:lvl w:ilvl="0">
      <w:start w:val="1"/>
      <w:numFmt w:val="bullet"/>
      <w:lvlText w:val="●"/>
      <w:lvlJc w:val="left"/>
      <w:pPr>
        <w:ind w:left="360" w:hanging="360"/>
      </w:pPr>
      <w:rPr>
        <w:rFonts w:ascii="Noto Sans Symbols" w:cs="Noto Sans Symbols" w:eastAsia="Noto Sans Symbols" w:hAnsi="Noto Sans Symbols"/>
        <w:color w:val="000000"/>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FB4C05"/>
    <w:pPr>
      <w:ind w:left="720"/>
      <w:contextualSpacing w:val="1"/>
    </w:pPr>
    <w:rPr>
      <w:rFonts w:ascii="Calibri" w:cs="Times New Roman" w:eastAsia="Calibri" w:hAnsi="Calibri"/>
    </w:rPr>
  </w:style>
  <w:style w:type="table" w:styleId="TableGrid">
    <w:name w:val="Table Grid"/>
    <w:basedOn w:val="TableNormal"/>
    <w:uiPriority w:val="59"/>
    <w:rsid w:val="00FB4C05"/>
    <w:pPr>
      <w:spacing w:after="0" w:line="240" w:lineRule="auto"/>
    </w:pPr>
    <w:rPr>
      <w:rFonts w:ascii="Calibri" w:cs="Times New Roman" w:eastAsia="Calibri" w:hAnsi="Calibri"/>
      <w:sz w:val="20"/>
      <w:szCs w:val="20"/>
    </w:r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Header">
    <w:name w:val="header"/>
    <w:basedOn w:val="Normal"/>
    <w:link w:val="HeaderChar"/>
    <w:uiPriority w:val="99"/>
    <w:semiHidden w:val="1"/>
    <w:unhideWhenUsed w:val="1"/>
    <w:rsid w:val="007D7B7B"/>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7D7B7B"/>
  </w:style>
  <w:style w:type="paragraph" w:styleId="Footer">
    <w:name w:val="footer"/>
    <w:basedOn w:val="Normal"/>
    <w:link w:val="FooterChar"/>
    <w:uiPriority w:val="99"/>
    <w:semiHidden w:val="1"/>
    <w:unhideWhenUsed w:val="1"/>
    <w:rsid w:val="007D7B7B"/>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7D7B7B"/>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6" Type="http://schemas.openxmlformats.org/officeDocument/2006/relationships/footer" Target="footer1.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