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0D9" w:rsidRPr="00AA6FA2" w:rsidRDefault="009E40D9">
      <w:pPr>
        <w:rPr>
          <w:rFonts w:ascii="Clarendon" w:hAnsi="Clarendon"/>
          <w:color w:val="FF6600"/>
          <w:sz w:val="16"/>
          <w:szCs w:val="16"/>
        </w:rPr>
      </w:pPr>
      <w:r w:rsidRPr="00AA6FA2">
        <w:rPr>
          <w:rFonts w:ascii="Clarendon" w:hAnsi="Clarendon"/>
          <w:noProof/>
          <w:color w:val="FF6600"/>
          <w:sz w:val="16"/>
          <w:szCs w:val="16"/>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447.75pt;height:30pt;visibility:visible">
            <v:imagedata r:id="rId7" o:title=""/>
          </v:shape>
        </w:pict>
      </w:r>
    </w:p>
    <w:p w:rsidR="009E40D9" w:rsidRPr="00AA6FA2" w:rsidRDefault="009E40D9" w:rsidP="00391DD8">
      <w:pPr>
        <w:pStyle w:val="ListParagraph"/>
        <w:numPr>
          <w:ilvl w:val="0"/>
          <w:numId w:val="1"/>
        </w:numPr>
        <w:rPr>
          <w:rFonts w:ascii="Clarendon" w:hAnsi="Clarendon"/>
          <w:color w:val="FF6600"/>
          <w:sz w:val="16"/>
          <w:szCs w:val="16"/>
        </w:rPr>
      </w:pPr>
      <w:r w:rsidRPr="00AA6FA2">
        <w:rPr>
          <w:rFonts w:ascii="Clarendon" w:hAnsi="Clarendon"/>
          <w:color w:val="FF6600"/>
          <w:sz w:val="16"/>
          <w:szCs w:val="16"/>
        </w:rPr>
        <w:t>Page 21-23</w:t>
      </w:r>
    </w:p>
    <w:p w:rsidR="009E40D9" w:rsidRPr="00AA6FA2" w:rsidRDefault="009E40D9" w:rsidP="00391DD8">
      <w:pPr>
        <w:pStyle w:val="ListParagraph"/>
        <w:numPr>
          <w:ilvl w:val="0"/>
          <w:numId w:val="1"/>
        </w:numPr>
        <w:rPr>
          <w:rFonts w:ascii="Clarendon" w:hAnsi="Clarendon"/>
          <w:color w:val="FF6600"/>
          <w:sz w:val="16"/>
          <w:szCs w:val="16"/>
        </w:rPr>
      </w:pPr>
      <w:r w:rsidRPr="00AA6FA2">
        <w:rPr>
          <w:rFonts w:ascii="Clarendon" w:hAnsi="Clarendon"/>
          <w:color w:val="FF6600"/>
          <w:sz w:val="16"/>
          <w:szCs w:val="16"/>
        </w:rPr>
        <w:t>At this stage it is a vexed question whether the provisions of the code constitute trade usages or not.</w:t>
      </w:r>
    </w:p>
    <w:p w:rsidR="009E40D9" w:rsidRPr="00AA6FA2" w:rsidRDefault="009E40D9" w:rsidP="00391DD8">
      <w:pPr>
        <w:pStyle w:val="ListParagraph"/>
        <w:numPr>
          <w:ilvl w:val="0"/>
          <w:numId w:val="1"/>
        </w:numPr>
        <w:rPr>
          <w:rFonts w:ascii="Clarendon" w:hAnsi="Clarendon"/>
          <w:color w:val="FF6600"/>
          <w:sz w:val="16"/>
          <w:szCs w:val="16"/>
        </w:rPr>
      </w:pPr>
      <w:r w:rsidRPr="00AA6FA2">
        <w:rPr>
          <w:rFonts w:ascii="Clarendon" w:hAnsi="Clarendon"/>
          <w:color w:val="FF6600"/>
          <w:sz w:val="16"/>
          <w:szCs w:val="16"/>
        </w:rPr>
        <w:t>Although the code provides that none of its provisions will be justiciable in a court of law and that it will not give rise to a trade custom or a tacit contract or otherwise between a customer and a bank, and it has been argued that courts could and indeed should have regard to the code’s provision in formulating legal principle.</w:t>
      </w:r>
    </w:p>
    <w:p w:rsidR="009E40D9" w:rsidRPr="00AA6FA2" w:rsidRDefault="009E40D9" w:rsidP="00391DD8">
      <w:pPr>
        <w:pStyle w:val="ListParagraph"/>
        <w:numPr>
          <w:ilvl w:val="0"/>
          <w:numId w:val="1"/>
        </w:numPr>
        <w:rPr>
          <w:rFonts w:ascii="Clarendon" w:hAnsi="Clarendon"/>
          <w:color w:val="FF6600"/>
          <w:sz w:val="16"/>
          <w:szCs w:val="16"/>
        </w:rPr>
      </w:pPr>
      <w:r w:rsidRPr="00AA6FA2">
        <w:rPr>
          <w:rFonts w:ascii="Clarendon" w:hAnsi="Clarendon"/>
          <w:color w:val="FF6600"/>
          <w:sz w:val="16"/>
          <w:szCs w:val="16"/>
        </w:rPr>
        <w:t>Thus in the future the code and the banking adjudicator’s recommendations might be treated as a source of South African banking law.</w:t>
      </w:r>
    </w:p>
    <w:p w:rsidR="009E40D9" w:rsidRPr="00AA6FA2" w:rsidRDefault="009E40D9" w:rsidP="00391DD8">
      <w:pPr>
        <w:rPr>
          <w:rFonts w:ascii="Clarendon" w:hAnsi="Clarendon"/>
          <w:color w:val="FF6600"/>
          <w:sz w:val="16"/>
          <w:szCs w:val="16"/>
        </w:rPr>
      </w:pPr>
      <w:r w:rsidRPr="00AA6FA2">
        <w:rPr>
          <w:rFonts w:ascii="Clarendon" w:hAnsi="Clarendon"/>
          <w:noProof/>
          <w:color w:val="FF6600"/>
          <w:sz w:val="16"/>
          <w:szCs w:val="16"/>
          <w:lang w:val="en-US"/>
        </w:rPr>
        <w:pict>
          <v:shape id="Picture 3" o:spid="_x0000_i1026" type="#_x0000_t75" style="width:448.5pt;height:65.25pt;visibility:visible">
            <v:imagedata r:id="rId8" o:title=""/>
          </v:shape>
        </w:pict>
      </w:r>
    </w:p>
    <w:p w:rsidR="009E40D9" w:rsidRPr="00AA6FA2" w:rsidRDefault="009E40D9" w:rsidP="00391DD8">
      <w:pPr>
        <w:rPr>
          <w:rFonts w:ascii="Clarendon" w:hAnsi="Clarendon"/>
          <w:color w:val="FF6600"/>
          <w:sz w:val="16"/>
          <w:szCs w:val="16"/>
        </w:rPr>
      </w:pPr>
    </w:p>
    <w:p w:rsidR="009E40D9" w:rsidRPr="00AA6FA2" w:rsidRDefault="009E40D9" w:rsidP="00746A31">
      <w:pPr>
        <w:pStyle w:val="ListParagraph"/>
        <w:numPr>
          <w:ilvl w:val="0"/>
          <w:numId w:val="2"/>
        </w:numPr>
        <w:rPr>
          <w:rFonts w:ascii="Clarendon" w:hAnsi="Clarendon"/>
          <w:color w:val="FF6600"/>
          <w:sz w:val="16"/>
          <w:szCs w:val="16"/>
        </w:rPr>
      </w:pPr>
      <w:r w:rsidRPr="00AA6FA2">
        <w:rPr>
          <w:rFonts w:ascii="Clarendon" w:hAnsi="Clarendon"/>
          <w:color w:val="FF6600"/>
          <w:sz w:val="16"/>
          <w:szCs w:val="16"/>
        </w:rPr>
        <w:t>page 29-30</w:t>
      </w:r>
    </w:p>
    <w:p w:rsidR="009E40D9" w:rsidRPr="00AA6FA2" w:rsidRDefault="009E40D9" w:rsidP="00746A31">
      <w:pPr>
        <w:pStyle w:val="ListParagraph"/>
        <w:numPr>
          <w:ilvl w:val="0"/>
          <w:numId w:val="2"/>
        </w:numPr>
        <w:rPr>
          <w:rFonts w:ascii="Clarendon" w:hAnsi="Clarendon"/>
          <w:color w:val="FF6600"/>
          <w:sz w:val="16"/>
          <w:szCs w:val="16"/>
        </w:rPr>
      </w:pPr>
      <w:r w:rsidRPr="00AA6FA2">
        <w:rPr>
          <w:rFonts w:ascii="Clarendon" w:hAnsi="Clarendon"/>
          <w:color w:val="FF6600"/>
          <w:sz w:val="16"/>
          <w:szCs w:val="16"/>
        </w:rPr>
        <w:t xml:space="preserve">bank as borrower: fixed deposits, savings </w:t>
      </w:r>
      <w:smartTag w:uri="urn:schemas-microsoft-com:office:smarttags" w:element="PersonName">
        <w:r w:rsidRPr="00AA6FA2">
          <w:rPr>
            <w:rFonts w:ascii="Clarendon" w:hAnsi="Clarendon"/>
            <w:color w:val="FF6600"/>
            <w:sz w:val="16"/>
            <w:szCs w:val="16"/>
          </w:rPr>
          <w:t>accounts</w:t>
        </w:r>
      </w:smartTag>
      <w:r w:rsidRPr="00AA6FA2">
        <w:rPr>
          <w:rFonts w:ascii="Clarendon" w:hAnsi="Clarendon"/>
          <w:color w:val="FF6600"/>
          <w:sz w:val="16"/>
          <w:szCs w:val="16"/>
        </w:rPr>
        <w:t xml:space="preserve">, deposits on credit card </w:t>
      </w:r>
      <w:smartTag w:uri="urn:schemas-microsoft-com:office:smarttags" w:element="PersonName">
        <w:r w:rsidRPr="00AA6FA2">
          <w:rPr>
            <w:rFonts w:ascii="Clarendon" w:hAnsi="Clarendon"/>
            <w:color w:val="FF6600"/>
            <w:sz w:val="16"/>
            <w:szCs w:val="16"/>
          </w:rPr>
          <w:t>accounts</w:t>
        </w:r>
      </w:smartTag>
      <w:r w:rsidRPr="00AA6FA2">
        <w:rPr>
          <w:rFonts w:ascii="Clarendon" w:hAnsi="Clarendon"/>
          <w:color w:val="FF6600"/>
          <w:sz w:val="16"/>
          <w:szCs w:val="16"/>
        </w:rPr>
        <w:t xml:space="preserve">, current </w:t>
      </w:r>
      <w:smartTag w:uri="urn:schemas-microsoft-com:office:smarttags" w:element="PersonName">
        <w:r w:rsidRPr="00AA6FA2">
          <w:rPr>
            <w:rFonts w:ascii="Clarendon" w:hAnsi="Clarendon"/>
            <w:color w:val="FF6600"/>
            <w:sz w:val="16"/>
            <w:szCs w:val="16"/>
          </w:rPr>
          <w:t>accounts</w:t>
        </w:r>
      </w:smartTag>
      <w:r w:rsidRPr="00AA6FA2">
        <w:rPr>
          <w:rFonts w:ascii="Clarendon" w:hAnsi="Clarendon"/>
          <w:color w:val="FF6600"/>
          <w:sz w:val="16"/>
          <w:szCs w:val="16"/>
        </w:rPr>
        <w:t>.</w:t>
      </w:r>
    </w:p>
    <w:p w:rsidR="009E40D9" w:rsidRPr="00AA6FA2" w:rsidRDefault="009E40D9" w:rsidP="00746A31">
      <w:pPr>
        <w:pStyle w:val="ListParagraph"/>
        <w:numPr>
          <w:ilvl w:val="0"/>
          <w:numId w:val="2"/>
        </w:numPr>
        <w:rPr>
          <w:rFonts w:ascii="Clarendon" w:hAnsi="Clarendon"/>
          <w:color w:val="FF6600"/>
          <w:sz w:val="16"/>
          <w:szCs w:val="16"/>
        </w:rPr>
      </w:pPr>
      <w:r w:rsidRPr="00AA6FA2">
        <w:rPr>
          <w:rFonts w:ascii="Clarendon" w:hAnsi="Clarendon"/>
          <w:color w:val="FF6600"/>
          <w:sz w:val="16"/>
          <w:szCs w:val="16"/>
        </w:rPr>
        <w:t>bank as intermediary: cheques, documentary letter of credit, credit cards, stop orders, debit orders, bills of exchange and travellers cheque.</w:t>
      </w:r>
    </w:p>
    <w:p w:rsidR="009E40D9" w:rsidRPr="00AA6FA2" w:rsidRDefault="009E40D9" w:rsidP="00746A31">
      <w:pPr>
        <w:rPr>
          <w:rFonts w:ascii="Clarendon" w:hAnsi="Clarendon"/>
          <w:color w:val="FF6600"/>
          <w:sz w:val="16"/>
          <w:szCs w:val="16"/>
        </w:rPr>
      </w:pPr>
      <w:r w:rsidRPr="00AA6FA2">
        <w:rPr>
          <w:rFonts w:ascii="Clarendon" w:hAnsi="Clarendon"/>
          <w:noProof/>
          <w:color w:val="FF6600"/>
          <w:sz w:val="16"/>
          <w:szCs w:val="16"/>
          <w:lang w:val="en-US"/>
        </w:rPr>
        <w:pict>
          <v:shape id="Picture 4" o:spid="_x0000_i1027" type="#_x0000_t75" style="width:450.75pt;height:65.25pt;visibility:visible">
            <v:imagedata r:id="rId9" o:title=""/>
          </v:shape>
        </w:pict>
      </w:r>
    </w:p>
    <w:p w:rsidR="009E40D9" w:rsidRPr="00AA6FA2" w:rsidRDefault="009E40D9" w:rsidP="00746A31">
      <w:pPr>
        <w:pStyle w:val="ListParagraph"/>
        <w:numPr>
          <w:ilvl w:val="0"/>
          <w:numId w:val="4"/>
        </w:numPr>
        <w:rPr>
          <w:rFonts w:ascii="Clarendon" w:hAnsi="Clarendon"/>
          <w:color w:val="FF6600"/>
          <w:sz w:val="16"/>
          <w:szCs w:val="16"/>
        </w:rPr>
      </w:pPr>
      <w:r w:rsidRPr="00AA6FA2">
        <w:rPr>
          <w:rFonts w:ascii="Clarendon" w:hAnsi="Clarendon"/>
          <w:color w:val="FF6600"/>
          <w:sz w:val="16"/>
          <w:szCs w:val="16"/>
        </w:rPr>
        <w:t>Page 34</w:t>
      </w:r>
    </w:p>
    <w:p w:rsidR="009E40D9" w:rsidRPr="00AA6FA2" w:rsidRDefault="009E40D9" w:rsidP="00746A31">
      <w:pPr>
        <w:pStyle w:val="ListParagraph"/>
        <w:numPr>
          <w:ilvl w:val="1"/>
          <w:numId w:val="4"/>
        </w:numPr>
        <w:rPr>
          <w:rFonts w:ascii="Clarendon" w:hAnsi="Clarendon"/>
          <w:color w:val="FF6600"/>
          <w:sz w:val="16"/>
          <w:szCs w:val="16"/>
        </w:rPr>
      </w:pPr>
      <w:r w:rsidRPr="00AA6FA2">
        <w:rPr>
          <w:rFonts w:ascii="Clarendon" w:hAnsi="Clarendon"/>
          <w:color w:val="FF6600"/>
          <w:sz w:val="16"/>
          <w:szCs w:val="16"/>
        </w:rPr>
        <w:t xml:space="preserve">In </w:t>
      </w:r>
      <w:r w:rsidRPr="00AA6FA2">
        <w:rPr>
          <w:rFonts w:ascii="Clarendon" w:hAnsi="Clarendon"/>
          <w:b/>
          <w:color w:val="FF6600"/>
          <w:sz w:val="16"/>
          <w:szCs w:val="16"/>
        </w:rPr>
        <w:t>Durr v ABSA Bank</w:t>
      </w:r>
      <w:r w:rsidRPr="00AA6FA2">
        <w:rPr>
          <w:rFonts w:ascii="Clarendon" w:hAnsi="Clarendon"/>
          <w:color w:val="FF6600"/>
          <w:sz w:val="16"/>
          <w:szCs w:val="16"/>
        </w:rPr>
        <w:t xml:space="preserve"> the appellant (client of the bank) lost a substantial amount of money because of poor investments advice given to her and some of her family members by one of the bank’s investments advisors.</w:t>
      </w:r>
    </w:p>
    <w:p w:rsidR="009E40D9" w:rsidRPr="00AA6FA2" w:rsidRDefault="009E40D9" w:rsidP="00746A31">
      <w:pPr>
        <w:pStyle w:val="ListParagraph"/>
        <w:numPr>
          <w:ilvl w:val="1"/>
          <w:numId w:val="4"/>
        </w:numPr>
        <w:rPr>
          <w:rFonts w:ascii="Clarendon" w:hAnsi="Clarendon"/>
          <w:color w:val="FF6600"/>
          <w:sz w:val="16"/>
          <w:szCs w:val="16"/>
        </w:rPr>
      </w:pPr>
      <w:r w:rsidRPr="00AA6FA2">
        <w:rPr>
          <w:rFonts w:ascii="Clarendon" w:hAnsi="Clarendon"/>
          <w:color w:val="FF6600"/>
          <w:sz w:val="16"/>
          <w:szCs w:val="16"/>
        </w:rPr>
        <w:t>The court held that the test to establish whether the advisor had acted negligently in giving the investment advice was whether he failed to act with ‘the necessary skill and knowledge of a regional manager of the broken division of a bank professing investment skill and offering expert investment advice’.</w:t>
      </w:r>
    </w:p>
    <w:p w:rsidR="009E40D9" w:rsidRPr="00AA6FA2" w:rsidRDefault="009E40D9" w:rsidP="00746A31">
      <w:pPr>
        <w:pStyle w:val="ListParagraph"/>
        <w:numPr>
          <w:ilvl w:val="1"/>
          <w:numId w:val="4"/>
        </w:numPr>
        <w:rPr>
          <w:rFonts w:ascii="Clarendon" w:hAnsi="Clarendon"/>
          <w:color w:val="FF6600"/>
          <w:sz w:val="16"/>
          <w:szCs w:val="16"/>
        </w:rPr>
      </w:pPr>
      <w:r w:rsidRPr="00AA6FA2">
        <w:rPr>
          <w:rFonts w:ascii="Clarendon" w:hAnsi="Clarendon"/>
          <w:color w:val="FF6600"/>
          <w:sz w:val="16"/>
          <w:szCs w:val="16"/>
        </w:rPr>
        <w:t>Court held that i.t.o. the test the advisor had acted negligently and the bank was liable for his conduct because it had accepted vicarious liability.</w:t>
      </w:r>
    </w:p>
    <w:p w:rsidR="009E40D9" w:rsidRPr="00AA6FA2" w:rsidRDefault="009E40D9" w:rsidP="00746A31">
      <w:pPr>
        <w:rPr>
          <w:rFonts w:ascii="Clarendon" w:hAnsi="Clarendon"/>
          <w:color w:val="FF6600"/>
          <w:sz w:val="16"/>
          <w:szCs w:val="16"/>
        </w:rPr>
      </w:pPr>
    </w:p>
    <w:p w:rsidR="009E40D9" w:rsidRPr="00AA6FA2" w:rsidRDefault="009E40D9" w:rsidP="00746A31">
      <w:pPr>
        <w:rPr>
          <w:rFonts w:ascii="Clarendon" w:hAnsi="Clarendon"/>
          <w:color w:val="FF6600"/>
          <w:sz w:val="16"/>
          <w:szCs w:val="16"/>
        </w:rPr>
      </w:pPr>
      <w:r w:rsidRPr="00AA6FA2">
        <w:rPr>
          <w:rFonts w:ascii="Clarendon" w:hAnsi="Clarendon"/>
          <w:noProof/>
          <w:color w:val="FF6600"/>
          <w:sz w:val="16"/>
          <w:szCs w:val="16"/>
          <w:lang w:val="en-US"/>
        </w:rPr>
        <w:pict>
          <v:shape id="Picture 5" o:spid="_x0000_i1028" type="#_x0000_t75" style="width:450.75pt;height:114.75pt;visibility:visible">
            <v:imagedata r:id="rId10" o:title=""/>
          </v:shape>
        </w:pict>
      </w:r>
    </w:p>
    <w:p w:rsidR="009E40D9" w:rsidRPr="00AA6FA2" w:rsidRDefault="009E40D9" w:rsidP="00746A31">
      <w:pPr>
        <w:pStyle w:val="ListParagraph"/>
        <w:numPr>
          <w:ilvl w:val="0"/>
          <w:numId w:val="4"/>
        </w:numPr>
        <w:rPr>
          <w:rFonts w:ascii="Clarendon" w:hAnsi="Clarendon"/>
          <w:color w:val="FF6600"/>
          <w:sz w:val="16"/>
          <w:szCs w:val="16"/>
        </w:rPr>
      </w:pPr>
      <w:r w:rsidRPr="00AA6FA2">
        <w:rPr>
          <w:rFonts w:ascii="Clarendon" w:hAnsi="Clarendon"/>
          <w:color w:val="FF6600"/>
          <w:sz w:val="16"/>
          <w:szCs w:val="16"/>
        </w:rPr>
        <w:t>Page 141</w:t>
      </w:r>
    </w:p>
    <w:p w:rsidR="009E40D9" w:rsidRPr="00AA6FA2" w:rsidRDefault="009E40D9" w:rsidP="00746A31">
      <w:pPr>
        <w:pStyle w:val="ListParagraph"/>
        <w:numPr>
          <w:ilvl w:val="0"/>
          <w:numId w:val="4"/>
        </w:numPr>
        <w:rPr>
          <w:rFonts w:ascii="Clarendon" w:hAnsi="Clarendon"/>
          <w:color w:val="FF6600"/>
          <w:sz w:val="16"/>
          <w:szCs w:val="16"/>
        </w:rPr>
      </w:pPr>
      <w:r w:rsidRPr="00AA6FA2">
        <w:rPr>
          <w:rFonts w:ascii="Clarendon" w:hAnsi="Clarendon"/>
          <w:color w:val="FF6600"/>
          <w:sz w:val="16"/>
          <w:szCs w:val="16"/>
        </w:rPr>
        <w:t>A credit agreement is reckless if at any time the agreement was made:</w:t>
      </w:r>
    </w:p>
    <w:p w:rsidR="009E40D9" w:rsidRPr="00AA6FA2" w:rsidRDefault="009E40D9" w:rsidP="00746A31">
      <w:pPr>
        <w:pStyle w:val="ListParagraph"/>
        <w:numPr>
          <w:ilvl w:val="0"/>
          <w:numId w:val="4"/>
        </w:numPr>
        <w:rPr>
          <w:rFonts w:ascii="Clarendon" w:hAnsi="Clarendon"/>
          <w:color w:val="FF6600"/>
          <w:sz w:val="16"/>
          <w:szCs w:val="16"/>
        </w:rPr>
      </w:pPr>
      <w:r w:rsidRPr="00AA6FA2">
        <w:rPr>
          <w:rFonts w:ascii="Clarendon" w:hAnsi="Clarendon"/>
          <w:color w:val="FF6600"/>
          <w:sz w:val="16"/>
          <w:szCs w:val="16"/>
        </w:rPr>
        <w:t>The credit provider failed to conduct an assessment as required, irrespective of what the outcome might have been.</w:t>
      </w:r>
    </w:p>
    <w:p w:rsidR="009E40D9" w:rsidRPr="00AA6FA2" w:rsidRDefault="009E40D9" w:rsidP="00391DD8">
      <w:pPr>
        <w:rPr>
          <w:rFonts w:ascii="Clarendon" w:hAnsi="Clarendon"/>
          <w:color w:val="FF6600"/>
          <w:sz w:val="16"/>
          <w:szCs w:val="16"/>
        </w:rPr>
      </w:pPr>
      <w:r w:rsidRPr="00AA6FA2">
        <w:rPr>
          <w:rFonts w:ascii="Clarendon" w:hAnsi="Clarendon"/>
          <w:noProof/>
          <w:color w:val="FF6600"/>
          <w:sz w:val="16"/>
          <w:szCs w:val="16"/>
          <w:lang w:val="en-US"/>
        </w:rPr>
        <w:pict>
          <v:shape id="Picture 6" o:spid="_x0000_i1029" type="#_x0000_t75" style="width:444pt;height:20.25pt;visibility:visible">
            <v:imagedata r:id="rId11" o:title=""/>
          </v:shape>
        </w:pict>
      </w:r>
    </w:p>
    <w:p w:rsidR="009E40D9" w:rsidRPr="00AA6FA2" w:rsidRDefault="009E40D9" w:rsidP="00746A31">
      <w:pPr>
        <w:pStyle w:val="ListParagraph"/>
        <w:numPr>
          <w:ilvl w:val="0"/>
          <w:numId w:val="5"/>
        </w:numPr>
        <w:rPr>
          <w:rFonts w:ascii="Clarendon" w:hAnsi="Clarendon"/>
          <w:color w:val="FF6600"/>
          <w:sz w:val="16"/>
          <w:szCs w:val="16"/>
        </w:rPr>
      </w:pPr>
      <w:r w:rsidRPr="00AA6FA2">
        <w:rPr>
          <w:rFonts w:ascii="Clarendon" w:hAnsi="Clarendon"/>
          <w:color w:val="FF6600"/>
          <w:sz w:val="16"/>
          <w:szCs w:val="16"/>
        </w:rPr>
        <w:t>Page 142</w:t>
      </w:r>
    </w:p>
    <w:p w:rsidR="009E40D9" w:rsidRPr="00AA6FA2" w:rsidRDefault="009E40D9" w:rsidP="00746A31">
      <w:pPr>
        <w:pStyle w:val="ListParagraph"/>
        <w:numPr>
          <w:ilvl w:val="0"/>
          <w:numId w:val="5"/>
        </w:numPr>
        <w:rPr>
          <w:rFonts w:ascii="Clarendon" w:hAnsi="Clarendon"/>
          <w:color w:val="FF6600"/>
          <w:sz w:val="16"/>
          <w:szCs w:val="16"/>
        </w:rPr>
      </w:pPr>
      <w:r w:rsidRPr="00AA6FA2">
        <w:rPr>
          <w:rFonts w:ascii="Clarendon" w:hAnsi="Clarendon"/>
          <w:color w:val="FF6600"/>
          <w:sz w:val="16"/>
          <w:szCs w:val="16"/>
        </w:rPr>
        <w:t>The court may order a debt restructuring order</w:t>
      </w:r>
    </w:p>
    <w:p w:rsidR="009E40D9" w:rsidRPr="00AA6FA2" w:rsidRDefault="009E40D9" w:rsidP="00746A31">
      <w:pPr>
        <w:rPr>
          <w:rFonts w:ascii="Clarendon" w:hAnsi="Clarendon"/>
          <w:color w:val="FF6600"/>
          <w:sz w:val="16"/>
          <w:szCs w:val="16"/>
        </w:rPr>
      </w:pPr>
    </w:p>
    <w:p w:rsidR="009E40D9" w:rsidRPr="00AA6FA2" w:rsidRDefault="009E40D9" w:rsidP="00746A31">
      <w:pPr>
        <w:rPr>
          <w:rFonts w:ascii="Clarendon" w:hAnsi="Clarendon"/>
          <w:color w:val="FF6600"/>
          <w:sz w:val="16"/>
          <w:szCs w:val="16"/>
        </w:rPr>
      </w:pPr>
      <w:r w:rsidRPr="00AA6FA2">
        <w:rPr>
          <w:rFonts w:ascii="Clarendon" w:hAnsi="Clarendon"/>
          <w:noProof/>
          <w:color w:val="FF6600"/>
          <w:sz w:val="16"/>
          <w:szCs w:val="16"/>
          <w:lang w:val="en-US"/>
        </w:rPr>
        <w:pict>
          <v:shape id="Picture 7" o:spid="_x0000_i1030" type="#_x0000_t75" style="width:444pt;height:46.5pt;visibility:visible">
            <v:imagedata r:id="rId12" o:title=""/>
          </v:shape>
        </w:pict>
      </w:r>
    </w:p>
    <w:p w:rsidR="009E40D9" w:rsidRPr="00AA6FA2" w:rsidRDefault="009E40D9" w:rsidP="00C415BB">
      <w:pPr>
        <w:pStyle w:val="ListParagraph"/>
        <w:numPr>
          <w:ilvl w:val="0"/>
          <w:numId w:val="6"/>
        </w:numPr>
        <w:rPr>
          <w:rFonts w:ascii="Clarendon" w:hAnsi="Clarendon"/>
          <w:color w:val="FF6600"/>
          <w:sz w:val="16"/>
          <w:szCs w:val="16"/>
        </w:rPr>
      </w:pPr>
      <w:r w:rsidRPr="00AA6FA2">
        <w:rPr>
          <w:rFonts w:ascii="Clarendon" w:hAnsi="Clarendon"/>
          <w:color w:val="FF6600"/>
          <w:sz w:val="16"/>
          <w:szCs w:val="16"/>
        </w:rPr>
        <w:t>Page 141</w:t>
      </w:r>
    </w:p>
    <w:p w:rsidR="009E40D9" w:rsidRPr="00AA6FA2" w:rsidRDefault="009E40D9" w:rsidP="00C415BB">
      <w:pPr>
        <w:pStyle w:val="ListParagraph"/>
        <w:numPr>
          <w:ilvl w:val="0"/>
          <w:numId w:val="6"/>
        </w:numPr>
        <w:rPr>
          <w:rFonts w:ascii="Clarendon" w:hAnsi="Clarendon"/>
          <w:color w:val="FF6600"/>
          <w:sz w:val="16"/>
          <w:szCs w:val="16"/>
        </w:rPr>
      </w:pPr>
      <w:r w:rsidRPr="00AA6FA2">
        <w:rPr>
          <w:rFonts w:ascii="Clarendon" w:hAnsi="Clarendon"/>
          <w:color w:val="FF6600"/>
          <w:sz w:val="16"/>
          <w:szCs w:val="16"/>
        </w:rPr>
        <w:t>To determine whether X understood and appreciated the risks and costs of the proposed credit as well as the rights and obligations under the agreement</w:t>
      </w:r>
    </w:p>
    <w:p w:rsidR="009E40D9" w:rsidRPr="00AA6FA2" w:rsidRDefault="009E40D9" w:rsidP="00C415BB">
      <w:pPr>
        <w:pStyle w:val="ListParagraph"/>
        <w:numPr>
          <w:ilvl w:val="0"/>
          <w:numId w:val="6"/>
        </w:numPr>
        <w:rPr>
          <w:rFonts w:ascii="Clarendon" w:hAnsi="Clarendon"/>
          <w:color w:val="FF6600"/>
          <w:sz w:val="16"/>
          <w:szCs w:val="16"/>
        </w:rPr>
      </w:pPr>
      <w:r w:rsidRPr="00AA6FA2">
        <w:rPr>
          <w:rFonts w:ascii="Clarendon" w:hAnsi="Clarendon"/>
          <w:color w:val="FF6600"/>
          <w:sz w:val="16"/>
          <w:szCs w:val="16"/>
        </w:rPr>
        <w:t>X’s debt repayment history under credit agreements from the credit bureau or NCR</w:t>
      </w:r>
    </w:p>
    <w:p w:rsidR="009E40D9" w:rsidRPr="00AA6FA2" w:rsidRDefault="009E40D9" w:rsidP="00C415BB">
      <w:pPr>
        <w:pStyle w:val="ListParagraph"/>
        <w:numPr>
          <w:ilvl w:val="0"/>
          <w:numId w:val="6"/>
        </w:numPr>
        <w:rPr>
          <w:rFonts w:ascii="Clarendon" w:hAnsi="Clarendon"/>
          <w:color w:val="FF6600"/>
          <w:sz w:val="16"/>
          <w:szCs w:val="16"/>
        </w:rPr>
      </w:pPr>
      <w:r w:rsidRPr="00AA6FA2">
        <w:rPr>
          <w:rFonts w:ascii="Clarendon" w:hAnsi="Clarendon"/>
          <w:color w:val="FF6600"/>
          <w:sz w:val="16"/>
          <w:szCs w:val="16"/>
        </w:rPr>
        <w:t>X’s financial means, prospects and obligations</w:t>
      </w:r>
    </w:p>
    <w:p w:rsidR="009E40D9" w:rsidRPr="00AA6FA2" w:rsidRDefault="009E40D9" w:rsidP="00C415BB">
      <w:pPr>
        <w:pStyle w:val="ListParagraph"/>
        <w:numPr>
          <w:ilvl w:val="0"/>
          <w:numId w:val="6"/>
        </w:numPr>
        <w:rPr>
          <w:rFonts w:ascii="Clarendon" w:hAnsi="Clarendon"/>
          <w:color w:val="FF6600"/>
          <w:sz w:val="16"/>
          <w:szCs w:val="16"/>
        </w:rPr>
      </w:pPr>
      <w:r w:rsidRPr="00AA6FA2">
        <w:rPr>
          <w:rFonts w:ascii="Clarendon" w:hAnsi="Clarendon"/>
          <w:color w:val="FF6600"/>
          <w:sz w:val="16"/>
          <w:szCs w:val="16"/>
        </w:rPr>
        <w:t>Whether it was reasonable to conclude that any commercial purpose for which the credit is applied will be successful</w:t>
      </w:r>
    </w:p>
    <w:p w:rsidR="009E40D9" w:rsidRPr="00AA6FA2" w:rsidRDefault="009E40D9" w:rsidP="00C415BB">
      <w:pPr>
        <w:rPr>
          <w:rFonts w:ascii="Clarendon" w:hAnsi="Clarendon"/>
          <w:color w:val="FF6600"/>
          <w:sz w:val="16"/>
          <w:szCs w:val="16"/>
        </w:rPr>
      </w:pPr>
      <w:r w:rsidRPr="00AA6FA2">
        <w:rPr>
          <w:rFonts w:ascii="Clarendon" w:hAnsi="Clarendon"/>
          <w:noProof/>
          <w:color w:val="FF6600"/>
          <w:sz w:val="16"/>
          <w:szCs w:val="16"/>
          <w:lang w:val="en-US"/>
        </w:rPr>
        <w:pict>
          <v:shape id="Picture 8" o:spid="_x0000_i1031" type="#_x0000_t75" style="width:446.25pt;height:135.75pt;visibility:visible">
            <v:imagedata r:id="rId13" o:title=""/>
          </v:shape>
        </w:pict>
      </w:r>
    </w:p>
    <w:p w:rsidR="009E40D9" w:rsidRPr="00AA6FA2" w:rsidRDefault="009E40D9" w:rsidP="00C415BB">
      <w:pPr>
        <w:pStyle w:val="ListParagraph"/>
        <w:numPr>
          <w:ilvl w:val="0"/>
          <w:numId w:val="7"/>
        </w:numPr>
        <w:rPr>
          <w:rFonts w:ascii="Clarendon" w:hAnsi="Clarendon"/>
          <w:color w:val="FF6600"/>
          <w:sz w:val="16"/>
          <w:szCs w:val="16"/>
        </w:rPr>
      </w:pPr>
      <w:r w:rsidRPr="00AA6FA2">
        <w:rPr>
          <w:rFonts w:ascii="Clarendon" w:hAnsi="Clarendon"/>
          <w:color w:val="FF6600"/>
          <w:sz w:val="16"/>
          <w:szCs w:val="16"/>
        </w:rPr>
        <w:t>page 176-178</w:t>
      </w:r>
    </w:p>
    <w:p w:rsidR="009E40D9" w:rsidRPr="00AA6FA2" w:rsidRDefault="009E40D9" w:rsidP="00C415BB">
      <w:pPr>
        <w:rPr>
          <w:rFonts w:ascii="Clarendon" w:hAnsi="Clarendon"/>
          <w:color w:val="FF6600"/>
          <w:sz w:val="16"/>
          <w:szCs w:val="16"/>
        </w:rPr>
      </w:pPr>
      <w:r w:rsidRPr="00AA6FA2">
        <w:rPr>
          <w:rFonts w:ascii="Clarendon" w:hAnsi="Clarendon"/>
          <w:noProof/>
          <w:color w:val="FF6600"/>
          <w:sz w:val="16"/>
          <w:szCs w:val="16"/>
          <w:lang w:val="en-US"/>
        </w:rPr>
        <w:pict>
          <v:shape id="Picture 9" o:spid="_x0000_i1032" type="#_x0000_t75" style="width:447.75pt;height:180.75pt;visibility:visible">
            <v:imagedata r:id="rId14" o:title=""/>
          </v:shape>
        </w:pict>
      </w:r>
    </w:p>
    <w:p w:rsidR="009E40D9" w:rsidRPr="00AA6FA2" w:rsidRDefault="009E40D9" w:rsidP="00C415BB">
      <w:pPr>
        <w:pStyle w:val="ListParagraph"/>
        <w:numPr>
          <w:ilvl w:val="0"/>
          <w:numId w:val="9"/>
        </w:numPr>
        <w:rPr>
          <w:rFonts w:ascii="Clarendon" w:hAnsi="Clarendon"/>
          <w:color w:val="FF6600"/>
          <w:sz w:val="16"/>
          <w:szCs w:val="16"/>
        </w:rPr>
      </w:pPr>
      <w:r w:rsidRPr="00AA6FA2">
        <w:rPr>
          <w:rFonts w:ascii="Clarendon" w:hAnsi="Clarendon"/>
          <w:color w:val="FF6600"/>
          <w:sz w:val="16"/>
          <w:szCs w:val="16"/>
        </w:rPr>
        <w:t>this is not a suspicious transaction, the payment of legal fees is an ordinary business transaction, there is no need to report.</w:t>
      </w:r>
    </w:p>
    <w:p w:rsidR="009E40D9" w:rsidRPr="00AA6FA2" w:rsidRDefault="009E40D9" w:rsidP="00C415BB">
      <w:pPr>
        <w:pStyle w:val="ListParagraph"/>
        <w:numPr>
          <w:ilvl w:val="0"/>
          <w:numId w:val="9"/>
        </w:numPr>
        <w:rPr>
          <w:rFonts w:ascii="Clarendon" w:hAnsi="Clarendon"/>
          <w:color w:val="FF6600"/>
          <w:sz w:val="16"/>
          <w:szCs w:val="16"/>
        </w:rPr>
      </w:pPr>
      <w:r w:rsidRPr="00AA6FA2">
        <w:rPr>
          <w:rFonts w:ascii="Clarendon" w:hAnsi="Clarendon"/>
          <w:color w:val="FF6600"/>
          <w:sz w:val="16"/>
          <w:szCs w:val="16"/>
        </w:rPr>
        <w:t>The amount is below the threshold; the transaction appears suspicious due to multiple payments and must be reported.</w:t>
      </w:r>
    </w:p>
    <w:p w:rsidR="009E40D9" w:rsidRPr="00AA6FA2" w:rsidRDefault="009E40D9" w:rsidP="00C415BB">
      <w:pPr>
        <w:pStyle w:val="ListParagraph"/>
        <w:numPr>
          <w:ilvl w:val="0"/>
          <w:numId w:val="9"/>
        </w:numPr>
        <w:rPr>
          <w:rFonts w:ascii="Clarendon" w:hAnsi="Clarendon"/>
          <w:color w:val="FF6600"/>
          <w:sz w:val="16"/>
          <w:szCs w:val="16"/>
        </w:rPr>
      </w:pPr>
      <w:r w:rsidRPr="00AA6FA2">
        <w:rPr>
          <w:rFonts w:ascii="Clarendon" w:hAnsi="Clarendon"/>
          <w:color w:val="FF6600"/>
          <w:sz w:val="16"/>
          <w:szCs w:val="16"/>
        </w:rPr>
        <w:t>The transaction is not suspicious, it is below the threshold, and there is no reason to report it.</w:t>
      </w:r>
    </w:p>
    <w:p w:rsidR="009E40D9" w:rsidRPr="00AA6FA2" w:rsidRDefault="009E40D9" w:rsidP="00C415BB">
      <w:pPr>
        <w:pStyle w:val="ListParagraph"/>
        <w:numPr>
          <w:ilvl w:val="0"/>
          <w:numId w:val="9"/>
        </w:numPr>
        <w:rPr>
          <w:rFonts w:ascii="Clarendon" w:hAnsi="Clarendon"/>
          <w:color w:val="FF6600"/>
          <w:sz w:val="16"/>
          <w:szCs w:val="16"/>
        </w:rPr>
      </w:pPr>
      <w:r w:rsidRPr="00AA6FA2">
        <w:rPr>
          <w:rFonts w:ascii="Clarendon" w:hAnsi="Clarendon"/>
          <w:color w:val="FF6600"/>
          <w:sz w:val="16"/>
          <w:szCs w:val="16"/>
        </w:rPr>
        <w:t>A transfer to an overseas bank account must report it.</w:t>
      </w:r>
    </w:p>
    <w:p w:rsidR="009E40D9" w:rsidRPr="00AA6FA2" w:rsidRDefault="009E40D9" w:rsidP="00C415BB">
      <w:pPr>
        <w:pStyle w:val="ListParagraph"/>
        <w:numPr>
          <w:ilvl w:val="0"/>
          <w:numId w:val="9"/>
        </w:numPr>
        <w:rPr>
          <w:rFonts w:ascii="Clarendon" w:hAnsi="Clarendon"/>
          <w:color w:val="FF6600"/>
          <w:sz w:val="16"/>
          <w:szCs w:val="16"/>
        </w:rPr>
      </w:pPr>
      <w:r w:rsidRPr="00AA6FA2">
        <w:rPr>
          <w:rFonts w:ascii="Clarendon" w:hAnsi="Clarendon"/>
          <w:color w:val="FF6600"/>
          <w:sz w:val="16"/>
          <w:szCs w:val="16"/>
        </w:rPr>
        <w:t>The amount is above the threshold and must be reported.</w:t>
      </w:r>
    </w:p>
    <w:p w:rsidR="009E40D9" w:rsidRPr="00AA6FA2" w:rsidRDefault="009E40D9" w:rsidP="0085293F">
      <w:pPr>
        <w:pStyle w:val="ListParagraph"/>
        <w:numPr>
          <w:ilvl w:val="0"/>
          <w:numId w:val="10"/>
        </w:numPr>
        <w:rPr>
          <w:rFonts w:ascii="Clarendon" w:hAnsi="Clarendon"/>
          <w:color w:val="FF6600"/>
          <w:sz w:val="16"/>
          <w:szCs w:val="16"/>
        </w:rPr>
      </w:pPr>
      <w:r w:rsidRPr="00AA6FA2">
        <w:rPr>
          <w:rFonts w:ascii="Clarendon" w:hAnsi="Clarendon"/>
          <w:color w:val="FF6600"/>
          <w:sz w:val="16"/>
          <w:szCs w:val="16"/>
        </w:rPr>
        <w:t>Page 181-182.</w:t>
      </w:r>
    </w:p>
    <w:p w:rsidR="009E40D9" w:rsidRPr="00AA6FA2" w:rsidRDefault="009E40D9" w:rsidP="0085293F">
      <w:pPr>
        <w:pStyle w:val="ListParagraph"/>
        <w:numPr>
          <w:ilvl w:val="0"/>
          <w:numId w:val="10"/>
        </w:numPr>
        <w:rPr>
          <w:rFonts w:ascii="Clarendon" w:hAnsi="Clarendon"/>
          <w:color w:val="FF6600"/>
          <w:sz w:val="16"/>
          <w:szCs w:val="16"/>
        </w:rPr>
      </w:pPr>
      <w:r w:rsidRPr="00AA6FA2">
        <w:rPr>
          <w:rFonts w:ascii="Clarendon" w:hAnsi="Clarendon"/>
          <w:color w:val="FF6600"/>
          <w:sz w:val="16"/>
          <w:szCs w:val="16"/>
        </w:rPr>
        <w:t>The threshold amount has been prescribed by regulation, at present the amount is set at R5000</w:t>
      </w:r>
    </w:p>
    <w:p w:rsidR="009E40D9" w:rsidRPr="00AA6FA2" w:rsidRDefault="009E40D9" w:rsidP="0085293F">
      <w:pPr>
        <w:rPr>
          <w:rFonts w:ascii="Clarendon" w:hAnsi="Clarendon"/>
          <w:color w:val="FF6600"/>
          <w:sz w:val="16"/>
          <w:szCs w:val="16"/>
        </w:rPr>
      </w:pPr>
      <w:r w:rsidRPr="00AA6FA2">
        <w:rPr>
          <w:rFonts w:ascii="Clarendon" w:hAnsi="Clarendon"/>
          <w:color w:val="FF6600"/>
          <w:sz w:val="16"/>
          <w:szCs w:val="16"/>
        </w:rPr>
        <w:t>QUESTION FOUR</w:t>
      </w:r>
    </w:p>
    <w:p w:rsidR="009E40D9" w:rsidRPr="00AA6FA2" w:rsidRDefault="009E40D9" w:rsidP="0085293F">
      <w:pPr>
        <w:rPr>
          <w:rFonts w:ascii="Clarendon" w:hAnsi="Clarendon"/>
          <w:color w:val="FF6600"/>
          <w:sz w:val="16"/>
          <w:szCs w:val="16"/>
        </w:rPr>
      </w:pPr>
      <w:r w:rsidRPr="00AA6FA2">
        <w:rPr>
          <w:rFonts w:ascii="Clarendon" w:hAnsi="Clarendon"/>
          <w:color w:val="FF6600"/>
          <w:sz w:val="16"/>
          <w:szCs w:val="16"/>
        </w:rPr>
        <w:t>N/A LETTERS OF CREDIT</w:t>
      </w:r>
    </w:p>
    <w:p w:rsidR="009E40D9" w:rsidRPr="00AA6FA2" w:rsidRDefault="009E40D9" w:rsidP="0085293F">
      <w:pPr>
        <w:rPr>
          <w:rFonts w:ascii="Clarendon" w:hAnsi="Clarendon"/>
          <w:color w:val="FF6600"/>
          <w:sz w:val="16"/>
          <w:szCs w:val="16"/>
        </w:rPr>
      </w:pPr>
    </w:p>
    <w:p w:rsidR="009E40D9" w:rsidRPr="00AA6FA2" w:rsidRDefault="009E40D9" w:rsidP="0085293F">
      <w:pPr>
        <w:rPr>
          <w:rFonts w:ascii="Clarendon" w:hAnsi="Clarendon"/>
          <w:color w:val="FF6600"/>
          <w:sz w:val="16"/>
          <w:szCs w:val="16"/>
        </w:rPr>
      </w:pPr>
      <w:r w:rsidRPr="00AA6FA2">
        <w:rPr>
          <w:rFonts w:ascii="Clarendon" w:hAnsi="Clarendon"/>
          <w:noProof/>
          <w:color w:val="FF6600"/>
          <w:sz w:val="16"/>
          <w:szCs w:val="16"/>
          <w:lang w:val="en-US"/>
        </w:rPr>
        <w:pict>
          <v:shape id="Picture 10" o:spid="_x0000_i1033" type="#_x0000_t75" style="width:445.5pt;height:78pt;visibility:visible">
            <v:imagedata r:id="rId15" o:title=""/>
          </v:shape>
        </w:pict>
      </w:r>
    </w:p>
    <w:p w:rsidR="009E40D9" w:rsidRPr="00AA6FA2" w:rsidRDefault="009E40D9" w:rsidP="0085293F">
      <w:pPr>
        <w:rPr>
          <w:rFonts w:ascii="Clarendon" w:hAnsi="Clarendon"/>
          <w:color w:val="FF6600"/>
          <w:sz w:val="16"/>
          <w:szCs w:val="16"/>
        </w:rPr>
      </w:pPr>
    </w:p>
    <w:p w:rsidR="009E40D9" w:rsidRPr="00AA6FA2" w:rsidRDefault="009E40D9" w:rsidP="0085293F">
      <w:pPr>
        <w:rPr>
          <w:rFonts w:ascii="Clarendon" w:hAnsi="Clarendon"/>
          <w:color w:val="FF6600"/>
          <w:sz w:val="16"/>
          <w:szCs w:val="16"/>
        </w:rPr>
      </w:pPr>
      <w:r w:rsidRPr="00AA6FA2">
        <w:rPr>
          <w:rFonts w:ascii="Clarendon" w:hAnsi="Clarendon"/>
          <w:color w:val="FF6600"/>
          <w:sz w:val="16"/>
          <w:szCs w:val="16"/>
        </w:rPr>
        <w:t>Page 44-49</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 xml:space="preserve">In </w:t>
      </w:r>
      <w:r w:rsidRPr="00AA6FA2">
        <w:rPr>
          <w:rFonts w:ascii="Clarendon" w:hAnsi="Clarendon"/>
          <w:b/>
          <w:color w:val="FF6600"/>
          <w:sz w:val="16"/>
          <w:szCs w:val="16"/>
        </w:rPr>
        <w:t>Mensky v ABSA</w:t>
      </w:r>
      <w:r w:rsidRPr="00AA6FA2">
        <w:rPr>
          <w:rFonts w:ascii="Clarendon" w:hAnsi="Clarendon"/>
          <w:color w:val="FF6600"/>
          <w:sz w:val="16"/>
          <w:szCs w:val="16"/>
        </w:rPr>
        <w:t xml:space="preserve"> the client and bank had concluded a written agreement i.t.o. which the plaintiff had rented a safety deposit locker at one of the bank’s branches.</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client deposited jewelry and foreign currency in the locker.</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Some time after the deposit, the safety locker was misplaced by the defendant when it was relocated to different premises.</w:t>
      </w:r>
    </w:p>
    <w:p w:rsidR="009E40D9" w:rsidRPr="00AA6FA2" w:rsidRDefault="009E40D9" w:rsidP="0085293F">
      <w:pPr>
        <w:rPr>
          <w:rFonts w:ascii="Clarendon" w:hAnsi="Clarendon"/>
          <w:color w:val="FF6600"/>
          <w:sz w:val="16"/>
          <w:szCs w:val="16"/>
        </w:rPr>
      </w:pP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It was common cause i.t.o. the agreement that the bank had undertaken to exercise reasonable care for the security of the locker area, but that it was a specific term of the contract that the client was responsible for the contents to be insured.</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client contended that the exception clause was not applicable, because the loss had occurred while the defendant was relocating to another premises.</w:t>
      </w:r>
    </w:p>
    <w:p w:rsidR="009E40D9" w:rsidRPr="00AA6FA2" w:rsidRDefault="009E40D9" w:rsidP="0085293F">
      <w:pPr>
        <w:rPr>
          <w:rFonts w:ascii="Clarendon" w:hAnsi="Clarendon"/>
          <w:color w:val="FF6600"/>
          <w:sz w:val="16"/>
          <w:szCs w:val="16"/>
        </w:rPr>
      </w:pP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court reasoned that the provision of the locker did not warrant an undertaking by the bank that could have resulted in substantial liabilities.</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Thus the client had no claim against the bank.</w:t>
      </w:r>
    </w:p>
    <w:p w:rsidR="009E40D9" w:rsidRPr="00AA6FA2" w:rsidRDefault="009E40D9" w:rsidP="0085293F">
      <w:pPr>
        <w:rPr>
          <w:rFonts w:ascii="Clarendon" w:hAnsi="Clarendon"/>
          <w:color w:val="FF6600"/>
          <w:sz w:val="16"/>
          <w:szCs w:val="16"/>
        </w:rPr>
      </w:pP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court further decided that the bank did not breach its obligations.</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bank had notified the client that it was relocating to new premises and had informed the client that unless she took some available action, the agreement to continue to store the client’s possessions would cease.</w:t>
      </w:r>
    </w:p>
    <w:p w:rsidR="009E40D9" w:rsidRPr="00AA6FA2" w:rsidRDefault="009E40D9" w:rsidP="0085293F">
      <w:pPr>
        <w:rPr>
          <w:rFonts w:ascii="Clarendon" w:hAnsi="Clarendon"/>
          <w:color w:val="FF6600"/>
          <w:sz w:val="16"/>
          <w:szCs w:val="16"/>
        </w:rPr>
      </w:pP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court decided that the bank had acted reasonably in the present circumstances, and that the client’s claim had to be dismissed with costs.</w:t>
      </w:r>
    </w:p>
    <w:p w:rsidR="009E40D9" w:rsidRPr="00AA6FA2" w:rsidRDefault="009E40D9" w:rsidP="0085293F">
      <w:pPr>
        <w:rPr>
          <w:rFonts w:ascii="Clarendon" w:hAnsi="Clarendon"/>
          <w:color w:val="FF6600"/>
          <w:sz w:val="16"/>
          <w:szCs w:val="16"/>
        </w:rPr>
      </w:pPr>
    </w:p>
    <w:p w:rsidR="009E40D9" w:rsidRPr="00AA6FA2" w:rsidRDefault="009E40D9" w:rsidP="00044158">
      <w:pPr>
        <w:rPr>
          <w:rFonts w:ascii="Clarendon" w:hAnsi="Clarendon"/>
          <w:color w:val="FF6600"/>
          <w:sz w:val="16"/>
          <w:szCs w:val="16"/>
        </w:rPr>
      </w:pP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 xml:space="preserve">In </w:t>
      </w:r>
      <w:r w:rsidRPr="00AA6FA2">
        <w:rPr>
          <w:rFonts w:ascii="Clarendon" w:hAnsi="Clarendon"/>
          <w:b/>
          <w:color w:val="FF6600"/>
          <w:sz w:val="16"/>
          <w:szCs w:val="16"/>
        </w:rPr>
        <w:t>First National Bank v Rosenblum</w:t>
      </w:r>
      <w:r w:rsidRPr="00AA6FA2">
        <w:rPr>
          <w:rFonts w:ascii="Clarendon" w:hAnsi="Clarendon"/>
          <w:color w:val="FF6600"/>
          <w:sz w:val="16"/>
          <w:szCs w:val="16"/>
        </w:rPr>
        <w:t xml:space="preserve"> the content of the safe deposit box were stolen due to the negligence of the bank’s staff.</w:t>
      </w:r>
    </w:p>
    <w:p w:rsidR="009E40D9" w:rsidRPr="00AA6FA2" w:rsidRDefault="009E40D9" w:rsidP="00044158">
      <w:pPr>
        <w:pStyle w:val="ListParagraph"/>
        <w:numPr>
          <w:ilvl w:val="0"/>
          <w:numId w:val="12"/>
        </w:numPr>
        <w:rPr>
          <w:rFonts w:ascii="Clarendon" w:hAnsi="Clarendon"/>
          <w:color w:val="FF6600"/>
          <w:sz w:val="16"/>
          <w:szCs w:val="16"/>
        </w:rPr>
      </w:pPr>
      <w:r w:rsidRPr="00AA6FA2">
        <w:rPr>
          <w:rFonts w:ascii="Clarendon" w:hAnsi="Clarendon"/>
          <w:color w:val="FF6600"/>
          <w:sz w:val="16"/>
          <w:szCs w:val="16"/>
        </w:rPr>
        <w:t>The agreement between the 2 provided that while the bank ‘will exercise every reasonable care, it is not liable for any loss or damage caused to any article lodged with it for safe custody… and whether the loss or damage is due to the bank’s negligence or not’.</w:t>
      </w:r>
    </w:p>
    <w:p w:rsidR="009E40D9" w:rsidRPr="00AA6FA2" w:rsidRDefault="009E40D9" w:rsidP="00044158">
      <w:pPr>
        <w:pStyle w:val="ListParagraph"/>
        <w:numPr>
          <w:ilvl w:val="0"/>
          <w:numId w:val="11"/>
        </w:numPr>
        <w:rPr>
          <w:rFonts w:ascii="Clarendon" w:hAnsi="Clarendon"/>
          <w:color w:val="FF6600"/>
          <w:sz w:val="16"/>
          <w:szCs w:val="16"/>
        </w:rPr>
      </w:pPr>
      <w:r w:rsidRPr="00AA6FA2">
        <w:rPr>
          <w:rFonts w:ascii="Clarendon" w:hAnsi="Clarendon"/>
          <w:color w:val="FF6600"/>
          <w:sz w:val="16"/>
          <w:szCs w:val="16"/>
        </w:rPr>
        <w:t>It was common cause that one of the bank’s staff had stolen the safe deposit box.</w:t>
      </w:r>
    </w:p>
    <w:p w:rsidR="009E40D9" w:rsidRPr="00AA6FA2" w:rsidRDefault="009E40D9" w:rsidP="00044158">
      <w:pPr>
        <w:rPr>
          <w:rFonts w:ascii="Clarendon" w:hAnsi="Clarendon"/>
          <w:color w:val="FF6600"/>
          <w:sz w:val="16"/>
          <w:szCs w:val="16"/>
        </w:rPr>
      </w:pPr>
    </w:p>
    <w:p w:rsidR="009E40D9" w:rsidRPr="00AA6FA2" w:rsidRDefault="009E40D9" w:rsidP="00044158">
      <w:pPr>
        <w:pStyle w:val="ListParagraph"/>
        <w:numPr>
          <w:ilvl w:val="0"/>
          <w:numId w:val="11"/>
        </w:numPr>
        <w:rPr>
          <w:rFonts w:ascii="Clarendon" w:hAnsi="Clarendon"/>
          <w:color w:val="FF6600"/>
          <w:sz w:val="16"/>
          <w:szCs w:val="16"/>
        </w:rPr>
      </w:pPr>
      <w:r w:rsidRPr="00AA6FA2">
        <w:rPr>
          <w:rFonts w:ascii="Clarendon" w:hAnsi="Clarendon"/>
          <w:color w:val="FF6600"/>
          <w:sz w:val="16"/>
          <w:szCs w:val="16"/>
        </w:rPr>
        <w:t>The court decided that the bank, as a non-human entity, was incapable of being negligent itself.</w:t>
      </w:r>
    </w:p>
    <w:p w:rsidR="009E40D9" w:rsidRPr="00AA6FA2" w:rsidRDefault="009E40D9" w:rsidP="00044158">
      <w:pPr>
        <w:pStyle w:val="Header"/>
        <w:numPr>
          <w:ilvl w:val="0"/>
          <w:numId w:val="11"/>
        </w:numPr>
        <w:tabs>
          <w:tab w:val="clear" w:pos="4320"/>
          <w:tab w:val="clear" w:pos="8640"/>
        </w:tabs>
        <w:rPr>
          <w:rFonts w:ascii="Clarendon" w:hAnsi="Clarendon"/>
          <w:color w:val="FF6600"/>
          <w:sz w:val="16"/>
          <w:szCs w:val="16"/>
        </w:rPr>
      </w:pPr>
      <w:r w:rsidRPr="00AA6FA2">
        <w:rPr>
          <w:rFonts w:ascii="Clarendon" w:hAnsi="Clarendon"/>
          <w:color w:val="FF6600"/>
          <w:sz w:val="16"/>
          <w:szCs w:val="16"/>
        </w:rPr>
        <w:t>The court further held that the indemnity also covered acts of gross negligence.</w:t>
      </w:r>
    </w:p>
    <w:p w:rsidR="009E40D9" w:rsidRPr="00AA6FA2" w:rsidRDefault="009E40D9" w:rsidP="0085293F">
      <w:pPr>
        <w:rPr>
          <w:rFonts w:ascii="Clarendon" w:hAnsi="Clarendon"/>
          <w:color w:val="FF6600"/>
          <w:sz w:val="16"/>
          <w:szCs w:val="16"/>
        </w:rPr>
      </w:pPr>
    </w:p>
    <w:p w:rsidR="009E40D9" w:rsidRPr="00AA6FA2" w:rsidRDefault="009E40D9" w:rsidP="00391DD8">
      <w:pPr>
        <w:rPr>
          <w:rFonts w:ascii="Clarendon" w:hAnsi="Clarendon"/>
          <w:color w:val="FF6600"/>
          <w:sz w:val="16"/>
          <w:szCs w:val="16"/>
        </w:rPr>
      </w:pPr>
    </w:p>
    <w:sectPr w:rsidR="009E40D9" w:rsidRPr="00AA6FA2" w:rsidSect="00685F6E">
      <w:headerReference w:type="default" r:id="rId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0D9" w:rsidRDefault="009E40D9" w:rsidP="00044158">
      <w:pPr>
        <w:spacing w:after="0" w:line="240" w:lineRule="auto"/>
      </w:pPr>
      <w:r>
        <w:separator/>
      </w:r>
    </w:p>
  </w:endnote>
  <w:endnote w:type="continuationSeparator" w:id="0">
    <w:p w:rsidR="009E40D9" w:rsidRDefault="009E40D9" w:rsidP="000441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larendon">
    <w:panose1 w:val="02040604040505020204"/>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0D9" w:rsidRDefault="009E40D9" w:rsidP="00044158">
      <w:pPr>
        <w:spacing w:after="0" w:line="240" w:lineRule="auto"/>
      </w:pPr>
      <w:r>
        <w:separator/>
      </w:r>
    </w:p>
  </w:footnote>
  <w:footnote w:type="continuationSeparator" w:id="0">
    <w:p w:rsidR="009E40D9" w:rsidRDefault="009E40D9" w:rsidP="000441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0D9" w:rsidRPr="00AA6FA2" w:rsidRDefault="009E40D9">
    <w:pPr>
      <w:pStyle w:val="Header"/>
      <w:rPr>
        <w:sz w:val="16"/>
        <w:szCs w:val="16"/>
        <w:lang w:val="en-ZA"/>
      </w:rPr>
    </w:pPr>
    <w:r>
      <w:rPr>
        <w:sz w:val="16"/>
        <w:szCs w:val="16"/>
        <w:lang w:val="en-ZA"/>
      </w:rPr>
      <w:t>Oct09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7E0629"/>
    <w:multiLevelType w:val="hybridMultilevel"/>
    <w:tmpl w:val="F03A67DA"/>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F967BE6"/>
    <w:multiLevelType w:val="hybridMultilevel"/>
    <w:tmpl w:val="10C00130"/>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23F1456"/>
    <w:multiLevelType w:val="hybridMultilevel"/>
    <w:tmpl w:val="CC649190"/>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D1C3C8F"/>
    <w:multiLevelType w:val="hybridMultilevel"/>
    <w:tmpl w:val="C4CEBB1A"/>
    <w:lvl w:ilvl="0" w:tplc="8C482FCC">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3C0438CC"/>
    <w:multiLevelType w:val="hybridMultilevel"/>
    <w:tmpl w:val="2CA873FE"/>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410518E7"/>
    <w:multiLevelType w:val="hybridMultilevel"/>
    <w:tmpl w:val="35487DE4"/>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42C26179"/>
    <w:multiLevelType w:val="hybridMultilevel"/>
    <w:tmpl w:val="685C1A76"/>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48F17B39"/>
    <w:multiLevelType w:val="hybridMultilevel"/>
    <w:tmpl w:val="33C2098E"/>
    <w:lvl w:ilvl="0" w:tplc="1C090019">
      <w:start w:val="1"/>
      <w:numFmt w:val="lowerLetter"/>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8">
    <w:nsid w:val="536333F2"/>
    <w:multiLevelType w:val="hybridMultilevel"/>
    <w:tmpl w:val="ECE47D30"/>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62157BEB"/>
    <w:multiLevelType w:val="hybridMultilevel"/>
    <w:tmpl w:val="8C40EB46"/>
    <w:lvl w:ilvl="0" w:tplc="C8A856BA">
      <w:start w:val="1"/>
      <w:numFmt w:val="lowerRoman"/>
      <w:lvlText w:val="%1."/>
      <w:lvlJc w:val="left"/>
      <w:pPr>
        <w:ind w:left="1080" w:hanging="72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0">
    <w:nsid w:val="6A7964AA"/>
    <w:multiLevelType w:val="hybridMultilevel"/>
    <w:tmpl w:val="5662693C"/>
    <w:lvl w:ilvl="0" w:tplc="1C09001B">
      <w:start w:val="1"/>
      <w:numFmt w:val="lowerRoman"/>
      <w:lvlText w:val="%1."/>
      <w:lvlJc w:val="right"/>
      <w:pPr>
        <w:ind w:left="720" w:hanging="360"/>
      </w:pPr>
      <w:rPr>
        <w:rFonts w:cs="Times New Roman"/>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1">
    <w:nsid w:val="7B7B6C2D"/>
    <w:multiLevelType w:val="hybridMultilevel"/>
    <w:tmpl w:val="A182A606"/>
    <w:lvl w:ilvl="0" w:tplc="8C482FCC">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9"/>
  </w:num>
  <w:num w:numId="4">
    <w:abstractNumId w:val="3"/>
  </w:num>
  <w:num w:numId="5">
    <w:abstractNumId w:val="6"/>
  </w:num>
  <w:num w:numId="6">
    <w:abstractNumId w:val="2"/>
  </w:num>
  <w:num w:numId="7">
    <w:abstractNumId w:val="0"/>
  </w:num>
  <w:num w:numId="8">
    <w:abstractNumId w:val="7"/>
  </w:num>
  <w:num w:numId="9">
    <w:abstractNumId w:val="10"/>
  </w:num>
  <w:num w:numId="10">
    <w:abstractNumId w:val="1"/>
  </w:num>
  <w:num w:numId="11">
    <w:abstractNumId w:val="8"/>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91DD8"/>
    <w:rsid w:val="00044158"/>
    <w:rsid w:val="00051280"/>
    <w:rsid w:val="00124264"/>
    <w:rsid w:val="00181F42"/>
    <w:rsid w:val="003010B9"/>
    <w:rsid w:val="00310510"/>
    <w:rsid w:val="00391DD8"/>
    <w:rsid w:val="003F0417"/>
    <w:rsid w:val="005670C3"/>
    <w:rsid w:val="0059111C"/>
    <w:rsid w:val="00685F6E"/>
    <w:rsid w:val="006A6082"/>
    <w:rsid w:val="006C49AB"/>
    <w:rsid w:val="00746A31"/>
    <w:rsid w:val="0085293F"/>
    <w:rsid w:val="008546CE"/>
    <w:rsid w:val="008A5241"/>
    <w:rsid w:val="00961524"/>
    <w:rsid w:val="009E40D9"/>
    <w:rsid w:val="00A0784D"/>
    <w:rsid w:val="00A16A86"/>
    <w:rsid w:val="00A16BA2"/>
    <w:rsid w:val="00A25446"/>
    <w:rsid w:val="00AA6FA2"/>
    <w:rsid w:val="00B51E55"/>
    <w:rsid w:val="00B56D4D"/>
    <w:rsid w:val="00B60A1B"/>
    <w:rsid w:val="00B63DAF"/>
    <w:rsid w:val="00B64397"/>
    <w:rsid w:val="00C415BB"/>
    <w:rsid w:val="00C56271"/>
    <w:rsid w:val="00C57DF5"/>
    <w:rsid w:val="00CA5DE1"/>
    <w:rsid w:val="00CA6951"/>
    <w:rsid w:val="00D6381A"/>
    <w:rsid w:val="00D66D4E"/>
    <w:rsid w:val="00D9614A"/>
    <w:rsid w:val="00D9682E"/>
    <w:rsid w:val="00DE040E"/>
    <w:rsid w:val="00E16C04"/>
    <w:rsid w:val="00E424DF"/>
    <w:rsid w:val="00E65D1D"/>
    <w:rsid w:val="00F864BF"/>
    <w:rsid w:val="00FF796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F6E"/>
    <w:pPr>
      <w:spacing w:after="200" w:line="276" w:lineRule="auto"/>
    </w:pPr>
    <w:rPr>
      <w:lang w:val="en-Z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91D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91DD8"/>
    <w:rPr>
      <w:rFonts w:ascii="Tahoma" w:hAnsi="Tahoma" w:cs="Tahoma"/>
      <w:sz w:val="16"/>
      <w:szCs w:val="16"/>
    </w:rPr>
  </w:style>
  <w:style w:type="paragraph" w:styleId="ListParagraph">
    <w:name w:val="List Paragraph"/>
    <w:basedOn w:val="Normal"/>
    <w:uiPriority w:val="99"/>
    <w:qFormat/>
    <w:rsid w:val="00391DD8"/>
    <w:pPr>
      <w:ind w:left="720"/>
      <w:contextualSpacing/>
    </w:pPr>
  </w:style>
  <w:style w:type="paragraph" w:styleId="Header">
    <w:name w:val="header"/>
    <w:basedOn w:val="Normal"/>
    <w:link w:val="HeaderChar"/>
    <w:uiPriority w:val="99"/>
    <w:rsid w:val="00044158"/>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uiPriority w:val="99"/>
    <w:locked/>
    <w:rsid w:val="00044158"/>
    <w:rPr>
      <w:rFonts w:ascii="Times New Roman" w:hAnsi="Times New Roman" w:cs="Times New Roman"/>
      <w:sz w:val="24"/>
      <w:szCs w:val="24"/>
      <w:lang w:val="en-US"/>
    </w:rPr>
  </w:style>
  <w:style w:type="paragraph" w:styleId="Footer">
    <w:name w:val="footer"/>
    <w:basedOn w:val="Normal"/>
    <w:link w:val="FooterChar"/>
    <w:uiPriority w:val="99"/>
    <w:semiHidden/>
    <w:rsid w:val="0004415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044158"/>
    <w:rPr>
      <w:rFonts w:cs="Times New Roman"/>
    </w:rPr>
  </w:style>
</w:styles>
</file>

<file path=word/webSettings.xml><?xml version="1.0" encoding="utf-8"?>
<w:webSettings xmlns:r="http://schemas.openxmlformats.org/officeDocument/2006/relationships" xmlns:w="http://schemas.openxmlformats.org/wordprocessingml/2006/main">
  <w:divs>
    <w:div w:id="39860518">
      <w:marLeft w:val="0"/>
      <w:marRight w:val="0"/>
      <w:marTop w:val="0"/>
      <w:marBottom w:val="0"/>
      <w:divBdr>
        <w:top w:val="none" w:sz="0" w:space="0" w:color="auto"/>
        <w:left w:val="none" w:sz="0" w:space="0" w:color="auto"/>
        <w:bottom w:val="none" w:sz="0" w:space="0" w:color="auto"/>
        <w:right w:val="none" w:sz="0" w:space="0" w:color="auto"/>
      </w:divBdr>
    </w:div>
    <w:div w:id="39860519">
      <w:marLeft w:val="0"/>
      <w:marRight w:val="0"/>
      <w:marTop w:val="0"/>
      <w:marBottom w:val="0"/>
      <w:divBdr>
        <w:top w:val="none" w:sz="0" w:space="0" w:color="auto"/>
        <w:left w:val="none" w:sz="0" w:space="0" w:color="auto"/>
        <w:bottom w:val="none" w:sz="0" w:space="0" w:color="auto"/>
        <w:right w:val="none" w:sz="0" w:space="0" w:color="auto"/>
      </w:divBdr>
    </w:div>
    <w:div w:id="39860520">
      <w:marLeft w:val="0"/>
      <w:marRight w:val="0"/>
      <w:marTop w:val="0"/>
      <w:marBottom w:val="0"/>
      <w:divBdr>
        <w:top w:val="none" w:sz="0" w:space="0" w:color="auto"/>
        <w:left w:val="none" w:sz="0" w:space="0" w:color="auto"/>
        <w:bottom w:val="none" w:sz="0" w:space="0" w:color="auto"/>
        <w:right w:val="none" w:sz="0" w:space="0" w:color="auto"/>
      </w:divBdr>
    </w:div>
    <w:div w:id="398605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724</Words>
  <Characters>4132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OCTOBER  BANKING LAW</dc:title>
  <dc:subject/>
  <dc:creator>asilashu</dc:creator>
  <cp:keywords/>
  <dc:description/>
  <cp:lastModifiedBy>fatimah</cp:lastModifiedBy>
  <cp:revision>2</cp:revision>
  <dcterms:created xsi:type="dcterms:W3CDTF">2012-04-05T10:01:00Z</dcterms:created>
  <dcterms:modified xsi:type="dcterms:W3CDTF">2012-04-05T10:01:00Z</dcterms:modified>
</cp:coreProperties>
</file>