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7C0" w:rsidRDefault="00FC0C8F">
      <w:pPr>
        <w:rPr>
          <w:rFonts w:ascii="Times New Roman" w:hAnsi="Times New Roman" w:cs="Times New Roman"/>
          <w:b/>
          <w:sz w:val="24"/>
          <w:szCs w:val="24"/>
          <w:u w:val="single"/>
        </w:rPr>
      </w:pPr>
      <w:r w:rsidRPr="00FC0C8F">
        <w:rPr>
          <w:rFonts w:ascii="Times New Roman" w:hAnsi="Times New Roman" w:cs="Times New Roman"/>
          <w:b/>
          <w:sz w:val="24"/>
          <w:szCs w:val="24"/>
          <w:u w:val="single"/>
        </w:rPr>
        <w:t>LCP4804 Answer Guideline</w:t>
      </w:r>
    </w:p>
    <w:p w:rsidR="00FC0C8F" w:rsidRDefault="00FC0C8F">
      <w:pPr>
        <w:rPr>
          <w:rFonts w:ascii="Times New Roman" w:hAnsi="Times New Roman" w:cs="Times New Roman"/>
          <w:b/>
          <w:sz w:val="24"/>
          <w:szCs w:val="24"/>
          <w:u w:val="single"/>
        </w:rPr>
      </w:pPr>
    </w:p>
    <w:p w:rsidR="00FC0C8F" w:rsidRDefault="00FC0C8F" w:rsidP="009525C6">
      <w:pPr>
        <w:spacing w:line="360" w:lineRule="auto"/>
        <w:jc w:val="both"/>
        <w:rPr>
          <w:rFonts w:ascii="Times New Roman" w:hAnsi="Times New Roman" w:cs="Times New Roman"/>
          <w:sz w:val="24"/>
          <w:szCs w:val="24"/>
        </w:rPr>
      </w:pPr>
      <w:r>
        <w:rPr>
          <w:rFonts w:ascii="Times New Roman" w:hAnsi="Times New Roman" w:cs="Times New Roman"/>
          <w:b/>
          <w:sz w:val="24"/>
          <w:szCs w:val="24"/>
          <w:u w:val="single"/>
        </w:rPr>
        <w:t>NB:</w:t>
      </w:r>
      <w:r>
        <w:rPr>
          <w:rFonts w:ascii="Times New Roman" w:hAnsi="Times New Roman" w:cs="Times New Roman"/>
          <w:sz w:val="24"/>
          <w:szCs w:val="24"/>
        </w:rPr>
        <w:t xml:space="preserve"> PLEASE TAKE NOTE THAT THIS IS NOT AN ANSWER MEMORANDUM WITH ANSWERS THAT STUDENTS CAN SIMPLY MEMORISE ONLY TO RECYCLE IN THE EXAM.  THIS IS AN ANSWER GUIDELINE WHICH IS MEANT TO ASSIST STUDENTS TO SELF ASSESS THEIR OWN WORK TO SEE IF IT IS ON THE RIGHT TRACK. </w:t>
      </w:r>
    </w:p>
    <w:p w:rsidR="00FC0C8F" w:rsidRDefault="00FC0C8F" w:rsidP="009525C6">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If any of your answers do not contain any of the below, then students are encouraged revisit these sections using the course material in order to rectify any confusion or misunderstanding. Lastly students were advised to READ questions carefully because they can direct you as to how to answer. </w:t>
      </w:r>
    </w:p>
    <w:p w:rsidR="00FC0C8F" w:rsidRDefault="00FC0C8F" w:rsidP="009525C6">
      <w:pPr>
        <w:spacing w:line="360" w:lineRule="auto"/>
        <w:jc w:val="both"/>
        <w:rPr>
          <w:rFonts w:ascii="Times New Roman" w:hAnsi="Times New Roman" w:cs="Times New Roman"/>
          <w:sz w:val="24"/>
          <w:szCs w:val="24"/>
        </w:rPr>
      </w:pPr>
    </w:p>
    <w:p w:rsidR="00FC0C8F" w:rsidRDefault="00FC0C8F" w:rsidP="009525C6">
      <w:pPr>
        <w:pStyle w:val="ListParagraph"/>
        <w:numPr>
          <w:ilvl w:val="1"/>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Discuss marital rights in the context of polygamy within the South African legislation pre-democracy. Use case law to show the emancipation of women in the Constitutional Court.</w:t>
      </w:r>
    </w:p>
    <w:p w:rsidR="00FC0C8F" w:rsidRDefault="00FC0C8F" w:rsidP="009525C6">
      <w:pPr>
        <w:pStyle w:val="ListParagraph"/>
        <w:spacing w:line="360" w:lineRule="auto"/>
        <w:jc w:val="both"/>
        <w:rPr>
          <w:rFonts w:ascii="Times New Roman" w:hAnsi="Times New Roman" w:cs="Times New Roman"/>
          <w:sz w:val="24"/>
          <w:szCs w:val="24"/>
        </w:rPr>
      </w:pPr>
    </w:p>
    <w:p w:rsidR="00FC0C8F" w:rsidRDefault="00FC0C8F" w:rsidP="009525C6">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Students were required to refer to the Black Administrati</w:t>
      </w:r>
      <w:r w:rsidR="009B40C5">
        <w:rPr>
          <w:rFonts w:ascii="Times New Roman" w:hAnsi="Times New Roman" w:cs="Times New Roman"/>
          <w:sz w:val="24"/>
          <w:szCs w:val="24"/>
        </w:rPr>
        <w:t>on Act (which was the national policy), alongside the Natal Code to discuss the concept of marital rights.</w:t>
      </w:r>
    </w:p>
    <w:p w:rsidR="009B40C5" w:rsidRDefault="009B40C5" w:rsidP="009525C6">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With regards to the polygamous nature of customary marriages, the husband had all the rights as well as the power to marry as many wives as he wanted, whereas women had no competing rights since they were regarded as perpetual minors.</w:t>
      </w:r>
    </w:p>
    <w:p w:rsidR="009B40C5" w:rsidRDefault="009B40C5" w:rsidP="009525C6">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The Constitutional Court cases which are relevant here are:</w:t>
      </w:r>
    </w:p>
    <w:p w:rsidR="009B40C5" w:rsidRDefault="009B40C5" w:rsidP="009525C6">
      <w:pPr>
        <w:spacing w:line="360" w:lineRule="auto"/>
        <w:ind w:left="360"/>
        <w:jc w:val="both"/>
        <w:rPr>
          <w:rFonts w:ascii="Times New Roman" w:hAnsi="Times New Roman" w:cs="Times New Roman"/>
          <w:sz w:val="24"/>
          <w:szCs w:val="24"/>
        </w:rPr>
      </w:pPr>
      <w:r w:rsidRPr="009B40C5">
        <w:rPr>
          <w:rFonts w:ascii="Times New Roman" w:hAnsi="Times New Roman" w:cs="Times New Roman"/>
          <w:i/>
          <w:sz w:val="24"/>
          <w:szCs w:val="24"/>
        </w:rPr>
        <w:t>Gumede</w:t>
      </w:r>
      <w:r>
        <w:rPr>
          <w:rFonts w:ascii="Times New Roman" w:hAnsi="Times New Roman" w:cs="Times New Roman"/>
          <w:i/>
          <w:sz w:val="24"/>
          <w:szCs w:val="24"/>
        </w:rPr>
        <w:t xml:space="preserve"> Case</w:t>
      </w:r>
      <w:r>
        <w:rPr>
          <w:rFonts w:ascii="Times New Roman" w:hAnsi="Times New Roman" w:cs="Times New Roman"/>
          <w:sz w:val="24"/>
          <w:szCs w:val="24"/>
        </w:rPr>
        <w:t xml:space="preserve">- which discussed property rights in the context of a divorce. The Recognition of Customary Marriages Act was unconstitutional as it excluded customary marriages concluded pre-recognition from the marital regime of in community of property. This meant that such women upon divorce were not entitled to any marital property. </w:t>
      </w:r>
    </w:p>
    <w:p w:rsidR="009B40C5" w:rsidRDefault="009B40C5" w:rsidP="009525C6">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(This case is acceptable dispute the fact that it is not </w:t>
      </w:r>
      <w:r w:rsidR="009525C6">
        <w:rPr>
          <w:rFonts w:ascii="Times New Roman" w:hAnsi="Times New Roman" w:cs="Times New Roman"/>
          <w:sz w:val="24"/>
          <w:szCs w:val="24"/>
        </w:rPr>
        <w:t>explicitly</w:t>
      </w:r>
      <w:r>
        <w:rPr>
          <w:rFonts w:ascii="Times New Roman" w:hAnsi="Times New Roman" w:cs="Times New Roman"/>
          <w:sz w:val="24"/>
          <w:szCs w:val="24"/>
        </w:rPr>
        <w:t xml:space="preserve"> brought </w:t>
      </w:r>
      <w:r w:rsidR="009525C6">
        <w:rPr>
          <w:rFonts w:ascii="Times New Roman" w:hAnsi="Times New Roman" w:cs="Times New Roman"/>
          <w:sz w:val="24"/>
          <w:szCs w:val="24"/>
        </w:rPr>
        <w:t>before the court in a polygamous nature, however it is important to take note that all customary marriages are potentially polygamous.)</w:t>
      </w:r>
    </w:p>
    <w:p w:rsidR="009525C6" w:rsidRDefault="009525C6" w:rsidP="009525C6">
      <w:pPr>
        <w:spacing w:line="360" w:lineRule="auto"/>
        <w:ind w:left="360"/>
        <w:jc w:val="both"/>
        <w:rPr>
          <w:rFonts w:ascii="Times New Roman" w:hAnsi="Times New Roman" w:cs="Times New Roman"/>
          <w:sz w:val="24"/>
          <w:szCs w:val="24"/>
        </w:rPr>
      </w:pPr>
      <w:r w:rsidRPr="009525C6">
        <w:rPr>
          <w:rFonts w:ascii="Times New Roman" w:hAnsi="Times New Roman" w:cs="Times New Roman"/>
          <w:i/>
          <w:sz w:val="24"/>
          <w:szCs w:val="24"/>
        </w:rPr>
        <w:lastRenderedPageBreak/>
        <w:t>Mayelane Case</w:t>
      </w:r>
      <w:r>
        <w:rPr>
          <w:rFonts w:ascii="Times New Roman" w:hAnsi="Times New Roman" w:cs="Times New Roman"/>
          <w:sz w:val="24"/>
          <w:szCs w:val="24"/>
        </w:rPr>
        <w:t xml:space="preserve">- the court in this case set a precedent that in order for a man to marry more women according to customary law, that he requires the permission of the first wife. </w:t>
      </w:r>
    </w:p>
    <w:p w:rsidR="009525C6" w:rsidRDefault="009525C6" w:rsidP="009525C6">
      <w:pPr>
        <w:spacing w:line="360" w:lineRule="auto"/>
        <w:ind w:left="360"/>
        <w:jc w:val="both"/>
        <w:rPr>
          <w:rFonts w:ascii="Times New Roman" w:hAnsi="Times New Roman" w:cs="Times New Roman"/>
          <w:sz w:val="24"/>
          <w:szCs w:val="24"/>
        </w:rPr>
      </w:pPr>
    </w:p>
    <w:p w:rsidR="009525C6" w:rsidRDefault="009525C6" w:rsidP="003F75EF">
      <w:pPr>
        <w:pStyle w:val="ListParagraph"/>
        <w:numPr>
          <w:ilvl w:val="1"/>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 did the outlawed marital legislation hinder the status of indigenous women? </w:t>
      </w:r>
    </w:p>
    <w:p w:rsidR="009525C6" w:rsidRDefault="009525C6" w:rsidP="003F75EF">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Discuss the Black Administrations Act which declared that all black women were perpetual minors. Perpetual minority demands the handing over of the woman from guardian (her father) to guardian (the husband) during marriage proceedings because of being considered as a minor. </w:t>
      </w:r>
    </w:p>
    <w:p w:rsidR="009525C6" w:rsidRDefault="009525C6" w:rsidP="003F75EF">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state the specific sections of the Act, it will better support your answer</w:t>
      </w:r>
      <w:r w:rsidR="003F75EF">
        <w:rPr>
          <w:rFonts w:ascii="Times New Roman" w:hAnsi="Times New Roman" w:cs="Times New Roman"/>
          <w:sz w:val="24"/>
          <w:szCs w:val="24"/>
        </w:rPr>
        <w:t>. You are also welcome to mention relevant sections of the Natal Code.</w:t>
      </w:r>
    </w:p>
    <w:p w:rsidR="003F75EF" w:rsidRDefault="003F75EF" w:rsidP="003F75EF">
      <w:pPr>
        <w:spacing w:line="360" w:lineRule="auto"/>
        <w:ind w:left="360"/>
        <w:jc w:val="both"/>
        <w:rPr>
          <w:rFonts w:ascii="Times New Roman" w:hAnsi="Times New Roman" w:cs="Times New Roman"/>
          <w:sz w:val="24"/>
          <w:szCs w:val="24"/>
        </w:rPr>
      </w:pPr>
    </w:p>
    <w:p w:rsidR="003F75EF" w:rsidRDefault="003F75EF" w:rsidP="003F75EF">
      <w:pPr>
        <w:pStyle w:val="ListParagraph"/>
        <w:numPr>
          <w:ilvl w:val="1"/>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Define inheritance according to South African indigenous law with the use of case law?</w:t>
      </w:r>
    </w:p>
    <w:p w:rsidR="003F75EF" w:rsidRDefault="003F75EF" w:rsidP="003F75EF">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The case of </w:t>
      </w:r>
      <w:r w:rsidRPr="003F75EF">
        <w:rPr>
          <w:rFonts w:ascii="Times New Roman" w:hAnsi="Times New Roman" w:cs="Times New Roman"/>
          <w:i/>
          <w:sz w:val="24"/>
          <w:szCs w:val="24"/>
        </w:rPr>
        <w:t xml:space="preserve">Mthembu </w:t>
      </w:r>
      <w:r>
        <w:rPr>
          <w:rFonts w:ascii="Times New Roman" w:hAnsi="Times New Roman" w:cs="Times New Roman"/>
          <w:sz w:val="24"/>
          <w:szCs w:val="24"/>
        </w:rPr>
        <w:t>was instrumental in the defining of inheritance.</w:t>
      </w:r>
    </w:p>
    <w:p w:rsidR="003F75EF" w:rsidRPr="003F75EF" w:rsidRDefault="003F75EF" w:rsidP="003F75EF">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The case applied the Black Administrations Act which designated two important requirements for eligibility to inherit, being that the individual has to be a </w:t>
      </w:r>
      <w:r w:rsidRPr="003F75EF">
        <w:rPr>
          <w:rFonts w:ascii="Times New Roman" w:hAnsi="Times New Roman" w:cs="Times New Roman"/>
          <w:b/>
          <w:sz w:val="24"/>
          <w:szCs w:val="24"/>
        </w:rPr>
        <w:t>senior</w:t>
      </w:r>
      <w:r>
        <w:rPr>
          <w:rFonts w:ascii="Times New Roman" w:hAnsi="Times New Roman" w:cs="Times New Roman"/>
          <w:b/>
          <w:sz w:val="24"/>
          <w:szCs w:val="24"/>
        </w:rPr>
        <w:t xml:space="preserve"> </w:t>
      </w:r>
      <w:r>
        <w:rPr>
          <w:rFonts w:ascii="Times New Roman" w:hAnsi="Times New Roman" w:cs="Times New Roman"/>
          <w:sz w:val="24"/>
          <w:szCs w:val="24"/>
        </w:rPr>
        <w:t xml:space="preserve">(in terms of age) and that the individual must be </w:t>
      </w:r>
      <w:r w:rsidRPr="003F75EF">
        <w:rPr>
          <w:rFonts w:ascii="Times New Roman" w:hAnsi="Times New Roman" w:cs="Times New Roman"/>
          <w:b/>
          <w:sz w:val="24"/>
          <w:szCs w:val="24"/>
        </w:rPr>
        <w:t>male</w:t>
      </w:r>
      <w:r>
        <w:rPr>
          <w:rFonts w:ascii="Times New Roman" w:hAnsi="Times New Roman" w:cs="Times New Roman"/>
          <w:sz w:val="24"/>
          <w:szCs w:val="24"/>
        </w:rPr>
        <w:t xml:space="preserve">. </w:t>
      </w:r>
    </w:p>
    <w:p w:rsidR="003F75EF" w:rsidRPr="003F75EF" w:rsidRDefault="003F75EF" w:rsidP="003F75EF">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According to these requirements this individual was then regarded as the head of the family and the heir to all deceased estates. </w:t>
      </w:r>
    </w:p>
    <w:p w:rsidR="003F75EF" w:rsidRPr="002D634E" w:rsidRDefault="003F75EF" w:rsidP="003F75EF">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Hence in the case of </w:t>
      </w:r>
      <w:r w:rsidRPr="003F75EF">
        <w:rPr>
          <w:rFonts w:ascii="Times New Roman" w:hAnsi="Times New Roman" w:cs="Times New Roman"/>
          <w:i/>
          <w:sz w:val="24"/>
          <w:szCs w:val="24"/>
        </w:rPr>
        <w:t>Mthembu</w:t>
      </w:r>
      <w:r>
        <w:rPr>
          <w:rFonts w:ascii="Times New Roman" w:hAnsi="Times New Roman" w:cs="Times New Roman"/>
          <w:sz w:val="24"/>
          <w:szCs w:val="24"/>
        </w:rPr>
        <w:t xml:space="preserve">, the widow and her daughters failed to inherit, as the father of the deceased inherited everything. </w:t>
      </w:r>
    </w:p>
    <w:p w:rsidR="002D634E" w:rsidRPr="002D634E" w:rsidRDefault="002D634E" w:rsidP="002D634E">
      <w:pPr>
        <w:pStyle w:val="ListParagraph"/>
        <w:spacing w:line="360" w:lineRule="auto"/>
        <w:jc w:val="both"/>
        <w:rPr>
          <w:rFonts w:ascii="Times New Roman" w:hAnsi="Times New Roman" w:cs="Times New Roman"/>
          <w:b/>
          <w:sz w:val="24"/>
          <w:szCs w:val="24"/>
        </w:rPr>
      </w:pPr>
    </w:p>
    <w:p w:rsidR="002D634E" w:rsidRDefault="002D634E" w:rsidP="002D634E">
      <w:pPr>
        <w:pStyle w:val="ListParagraph"/>
        <w:numPr>
          <w:ilvl w:val="1"/>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Do you think inheritance included women in their position as beneficiaries of deceased estates and administrators of estates? Cite case law and show how the court has transformed the position of women using legislation post democracy.</w:t>
      </w:r>
    </w:p>
    <w:p w:rsidR="002D634E" w:rsidRPr="002D634E" w:rsidRDefault="0076044F" w:rsidP="002D63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case of </w:t>
      </w:r>
      <w:proofErr w:type="spellStart"/>
      <w:r w:rsidRPr="0076044F">
        <w:rPr>
          <w:rFonts w:ascii="Times New Roman" w:hAnsi="Times New Roman" w:cs="Times New Roman"/>
          <w:i/>
          <w:sz w:val="24"/>
          <w:szCs w:val="24"/>
        </w:rPr>
        <w:t>Bhe</w:t>
      </w:r>
      <w:proofErr w:type="spellEnd"/>
      <w:r>
        <w:rPr>
          <w:rFonts w:ascii="Times New Roman" w:hAnsi="Times New Roman" w:cs="Times New Roman"/>
          <w:sz w:val="24"/>
          <w:szCs w:val="24"/>
        </w:rPr>
        <w:t xml:space="preserve"> is relevant to this question. Post democracy, the </w:t>
      </w:r>
      <w:proofErr w:type="spellStart"/>
      <w:r w:rsidRPr="0076044F">
        <w:rPr>
          <w:rFonts w:ascii="Times New Roman" w:hAnsi="Times New Roman" w:cs="Times New Roman"/>
          <w:i/>
          <w:sz w:val="24"/>
          <w:szCs w:val="24"/>
        </w:rPr>
        <w:t>Bhe</w:t>
      </w:r>
      <w:proofErr w:type="spellEnd"/>
      <w:r w:rsidRPr="0076044F">
        <w:rPr>
          <w:rFonts w:ascii="Times New Roman" w:hAnsi="Times New Roman" w:cs="Times New Roman"/>
          <w:i/>
          <w:sz w:val="24"/>
          <w:szCs w:val="24"/>
        </w:rPr>
        <w:t xml:space="preserve"> </w:t>
      </w:r>
      <w:r>
        <w:rPr>
          <w:rFonts w:ascii="Times New Roman" w:hAnsi="Times New Roman" w:cs="Times New Roman"/>
          <w:sz w:val="24"/>
          <w:szCs w:val="24"/>
        </w:rPr>
        <w:t xml:space="preserve">case transformed the position of women by levelling the playing field, and giving all beneficiaries (male, female, legitimate child or not) an equal opportunity to inherit in child portions. </w:t>
      </w:r>
    </w:p>
    <w:p w:rsidR="0076044F" w:rsidRPr="00BE5D16" w:rsidRDefault="0076044F" w:rsidP="0076044F">
      <w:pPr>
        <w:pStyle w:val="ListParagraph"/>
        <w:numPr>
          <w:ilvl w:val="1"/>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Explain the concept of succession to a position of traditional leadership. Use legislation to trace the advancement of women by referring to the rule of primogeniture and how it impacted women from fully ascending to traditional leadership heights. </w:t>
      </w:r>
    </w:p>
    <w:p w:rsidR="002D634E" w:rsidRPr="0076044F" w:rsidRDefault="0076044F" w:rsidP="002D63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Prior to the Constitution, the senior male succeeded (usually the eldest son) took over from the previous traditional leader. Post the Constitution, the Traditional leadership Act allowed for new succession chances based on equality. Now both male and female can succeed the previous traditional leader. The case of </w:t>
      </w:r>
      <w:proofErr w:type="spellStart"/>
      <w:r w:rsidRPr="0076044F">
        <w:rPr>
          <w:rFonts w:ascii="Times New Roman" w:hAnsi="Times New Roman" w:cs="Times New Roman"/>
          <w:i/>
          <w:sz w:val="24"/>
          <w:szCs w:val="24"/>
        </w:rPr>
        <w:t>Shilubana</w:t>
      </w:r>
      <w:proofErr w:type="spellEnd"/>
      <w:r>
        <w:rPr>
          <w:rFonts w:ascii="Times New Roman" w:hAnsi="Times New Roman" w:cs="Times New Roman"/>
          <w:sz w:val="24"/>
          <w:szCs w:val="24"/>
        </w:rPr>
        <w:t xml:space="preserve"> was groundbreaking in this regard. </w:t>
      </w:r>
      <w:bookmarkStart w:id="0" w:name="_GoBack"/>
      <w:bookmarkEnd w:id="0"/>
    </w:p>
    <w:sectPr w:rsidR="002D634E" w:rsidRPr="007604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562044"/>
    <w:multiLevelType w:val="multilevel"/>
    <w:tmpl w:val="F9F249BE"/>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9AD611E"/>
    <w:multiLevelType w:val="hybridMultilevel"/>
    <w:tmpl w:val="82405EF8"/>
    <w:lvl w:ilvl="0" w:tplc="07800B7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607F0F"/>
    <w:multiLevelType w:val="multilevel"/>
    <w:tmpl w:val="3D80E186"/>
    <w:lvl w:ilvl="0">
      <w:start w:val="1"/>
      <w:numFmt w:val="decimal"/>
      <w:lvlText w:val="%1."/>
      <w:lvlJc w:val="left"/>
      <w:pPr>
        <w:ind w:left="375" w:hanging="37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70E95874"/>
    <w:multiLevelType w:val="hybridMultilevel"/>
    <w:tmpl w:val="31A87F30"/>
    <w:lvl w:ilvl="0" w:tplc="0DA8311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FA6215"/>
    <w:multiLevelType w:val="hybridMultilevel"/>
    <w:tmpl w:val="2A2C35F8"/>
    <w:lvl w:ilvl="0" w:tplc="07800B7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C8F"/>
    <w:rsid w:val="002D634E"/>
    <w:rsid w:val="003F75EF"/>
    <w:rsid w:val="0076044F"/>
    <w:rsid w:val="007F2C25"/>
    <w:rsid w:val="008277C0"/>
    <w:rsid w:val="00925C32"/>
    <w:rsid w:val="009525C6"/>
    <w:rsid w:val="00965EBE"/>
    <w:rsid w:val="009B40C5"/>
    <w:rsid w:val="00FC0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EC9E9"/>
  <w15:chartTrackingRefBased/>
  <w15:docId w15:val="{C830FF16-8AA2-4ABD-AD61-5664E28E0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0C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629104">
      <w:bodyDiv w:val="1"/>
      <w:marLeft w:val="0"/>
      <w:marRight w:val="0"/>
      <w:marTop w:val="0"/>
      <w:marBottom w:val="0"/>
      <w:divBdr>
        <w:top w:val="none" w:sz="0" w:space="0" w:color="auto"/>
        <w:left w:val="none" w:sz="0" w:space="0" w:color="auto"/>
        <w:bottom w:val="none" w:sz="0" w:space="0" w:color="auto"/>
        <w:right w:val="none" w:sz="0" w:space="0" w:color="auto"/>
      </w:divBdr>
    </w:div>
    <w:div w:id="959261000">
      <w:bodyDiv w:val="1"/>
      <w:marLeft w:val="0"/>
      <w:marRight w:val="0"/>
      <w:marTop w:val="0"/>
      <w:marBottom w:val="0"/>
      <w:divBdr>
        <w:top w:val="none" w:sz="0" w:space="0" w:color="auto"/>
        <w:left w:val="none" w:sz="0" w:space="0" w:color="auto"/>
        <w:bottom w:val="none" w:sz="0" w:space="0" w:color="auto"/>
        <w:right w:val="none" w:sz="0" w:space="0" w:color="auto"/>
      </w:divBdr>
    </w:div>
    <w:div w:id="21339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3</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Nxumalo, Nicholene</dc:creator>
  <cp:keywords/>
  <dc:description/>
  <cp:lastModifiedBy>Nxumalo, Nicholene</cp:lastModifiedBy>
  <cp:revision>2</cp:revision>
  <dcterms:created xsi:type="dcterms:W3CDTF">2018-10-05T07:26:00Z</dcterms:created>
  <dcterms:modified xsi:type="dcterms:W3CDTF">2018-10-08T08:04:00Z</dcterms:modified>
</cp:coreProperties>
</file>