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1AB3" w:rsidRPr="00442A09" w:rsidRDefault="00921AB3" w:rsidP="00921AB3">
      <w:pPr>
        <w:tabs>
          <w:tab w:val="left" w:pos="-720"/>
        </w:tabs>
        <w:suppressAutoHyphens/>
        <w:spacing w:line="276" w:lineRule="auto"/>
        <w:jc w:val="both"/>
        <w:rPr>
          <w:b/>
          <w:spacing w:val="-3"/>
          <w:szCs w:val="22"/>
        </w:rPr>
      </w:pPr>
      <w:bookmarkStart w:id="0" w:name="_GoBack"/>
      <w:bookmarkEnd w:id="0"/>
      <w:r w:rsidRPr="00442A09">
        <w:rPr>
          <w:b/>
          <w:spacing w:val="-3"/>
          <w:szCs w:val="22"/>
          <w:u w:val="single"/>
        </w:rPr>
        <w:t>SUGGESTED ANSWERS TO PROBLEMS</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1. </w:t>
      </w:r>
      <w:r w:rsidRPr="00442A09">
        <w:rPr>
          <w:rFonts w:ascii="Bembo" w:hAnsi="Bembo" w:cs="Bembo"/>
          <w:b/>
        </w:rPr>
        <w:t>On a set of price–quantity axes show the effect of a capital outflow on the investing country.</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See Figure 1.</w:t>
      </w: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In Figure 1, the outflow of capital is shown by the leftward and upward shift of the </w:t>
      </w:r>
      <w:r w:rsidRPr="00442A09">
        <w:rPr>
          <w:spacing w:val="-3"/>
          <w:sz w:val="22"/>
          <w:szCs w:val="22"/>
        </w:rPr>
        <w:tab/>
        <w:t>S</w:t>
      </w:r>
      <w:r w:rsidRPr="00442A09">
        <w:rPr>
          <w:spacing w:val="-3"/>
          <w:sz w:val="22"/>
          <w:szCs w:val="22"/>
          <w:vertAlign w:val="subscript"/>
        </w:rPr>
        <w:t>K</w:t>
      </w:r>
      <w:r w:rsidRPr="00442A09">
        <w:rPr>
          <w:spacing w:val="-3"/>
          <w:sz w:val="22"/>
          <w:szCs w:val="22"/>
        </w:rPr>
        <w:t xml:space="preserve"> curve to S'</w:t>
      </w:r>
      <w:r w:rsidRPr="00442A09">
        <w:rPr>
          <w:spacing w:val="-3"/>
          <w:sz w:val="22"/>
          <w:szCs w:val="22"/>
          <w:vertAlign w:val="subscript"/>
        </w:rPr>
        <w:t>K</w:t>
      </w:r>
      <w:r w:rsidRPr="00442A09">
        <w:rPr>
          <w:spacing w:val="-3"/>
          <w:sz w:val="22"/>
          <w:szCs w:val="22"/>
        </w:rPr>
        <w:t xml:space="preserve">. This increases the return on capital until it is equal to that in the host </w:t>
      </w:r>
      <w:r w:rsidRPr="00442A09">
        <w:rPr>
          <w:spacing w:val="-3"/>
          <w:sz w:val="22"/>
          <w:szCs w:val="22"/>
        </w:rPr>
        <w:tab/>
        <w:t>or receiving country.</w:t>
      </w:r>
    </w:p>
    <w:p w:rsidR="00921AB3" w:rsidRPr="00442A09" w:rsidRDefault="00921AB3" w:rsidP="00921AB3">
      <w:pPr>
        <w:tabs>
          <w:tab w:val="left" w:pos="-720"/>
        </w:tabs>
        <w:suppressAutoHyphens/>
        <w:spacing w:line="276" w:lineRule="auto"/>
        <w:jc w:val="both"/>
        <w:rPr>
          <w:spacing w:val="-3"/>
          <w:sz w:val="22"/>
          <w:szCs w:val="22"/>
        </w:rPr>
      </w:pPr>
      <w:r>
        <w:rPr>
          <w:noProof/>
          <w:spacing w:val="-3"/>
          <w:sz w:val="22"/>
          <w:szCs w:val="22"/>
        </w:rPr>
        <w:drawing>
          <wp:inline distT="0" distB="0" distL="0" distR="0">
            <wp:extent cx="5553075" cy="20955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l="4646" t="4623" b="66241"/>
                    <a:stretch>
                      <a:fillRect/>
                    </a:stretch>
                  </pic:blipFill>
                  <pic:spPr bwMode="auto">
                    <a:xfrm>
                      <a:off x="0" y="0"/>
                      <a:ext cx="5553075" cy="2095500"/>
                    </a:xfrm>
                    <a:prstGeom prst="rect">
                      <a:avLst/>
                    </a:prstGeom>
                    <a:noFill/>
                    <a:ln w="9525">
                      <a:noFill/>
                      <a:miter lim="800000"/>
                      <a:headEnd/>
                      <a:tailEnd/>
                    </a:ln>
                  </pic:spPr>
                </pic:pic>
              </a:graphicData>
            </a:graphic>
          </wp:inline>
        </w:drawing>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2. </w:t>
      </w:r>
      <w:r w:rsidRPr="00442A09">
        <w:rPr>
          <w:rFonts w:ascii="Bembo" w:hAnsi="Bembo" w:cs="Bembo"/>
          <w:b/>
        </w:rPr>
        <w:t>On a set of price–quantity axes show the effect of a capital inflow on the host or receiving country.</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See Figure 2.</w:t>
      </w: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In Figure 2, the outflow of capital is shown by the rightward and downward shift of </w:t>
      </w:r>
      <w:r w:rsidRPr="00442A09">
        <w:rPr>
          <w:spacing w:val="-3"/>
          <w:sz w:val="22"/>
          <w:szCs w:val="22"/>
        </w:rPr>
        <w:tab/>
        <w:t>the S</w:t>
      </w:r>
      <w:r w:rsidRPr="00442A09">
        <w:rPr>
          <w:spacing w:val="-3"/>
          <w:sz w:val="22"/>
          <w:szCs w:val="22"/>
          <w:vertAlign w:val="subscript"/>
        </w:rPr>
        <w:t>K</w:t>
      </w:r>
      <w:r w:rsidRPr="00442A09">
        <w:rPr>
          <w:spacing w:val="-3"/>
          <w:sz w:val="22"/>
          <w:szCs w:val="22"/>
        </w:rPr>
        <w:t xml:space="preserve"> curve to S'</w:t>
      </w:r>
      <w:r w:rsidRPr="00442A09">
        <w:rPr>
          <w:spacing w:val="-3"/>
          <w:sz w:val="22"/>
          <w:szCs w:val="22"/>
          <w:vertAlign w:val="subscript"/>
        </w:rPr>
        <w:t>K</w:t>
      </w:r>
      <w:r w:rsidRPr="00442A09">
        <w:rPr>
          <w:spacing w:val="-3"/>
          <w:sz w:val="22"/>
          <w:szCs w:val="22"/>
        </w:rPr>
        <w:t xml:space="preserve">. This reduces the return on capital until it is equal to that in the </w:t>
      </w:r>
      <w:r w:rsidRPr="00442A09">
        <w:rPr>
          <w:spacing w:val="-3"/>
          <w:sz w:val="22"/>
          <w:szCs w:val="22"/>
        </w:rPr>
        <w:tab/>
        <w:t>investing country.</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3. </w:t>
      </w:r>
      <w:r w:rsidRPr="00442A09">
        <w:rPr>
          <w:rFonts w:ascii="Bembo" w:hAnsi="Bembo" w:cs="Bembo"/>
          <w:b/>
        </w:rPr>
        <w:t>Update Table 12.1 for the most recent year for which data are available.</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data to update Table 12-1 is found in the July issue of the most recent year of </w:t>
      </w:r>
      <w:r w:rsidRPr="00442A09">
        <w:rPr>
          <w:spacing w:val="-3"/>
          <w:sz w:val="22"/>
          <w:szCs w:val="22"/>
        </w:rPr>
        <w:tab/>
        <w:t xml:space="preserve">the </w:t>
      </w:r>
      <w:r w:rsidRPr="00442A09">
        <w:rPr>
          <w:spacing w:val="-3"/>
          <w:sz w:val="22"/>
          <w:szCs w:val="22"/>
          <w:u w:val="single"/>
        </w:rPr>
        <w:t>Survey of Current Business</w:t>
      </w:r>
      <w:r w:rsidRPr="00442A09">
        <w:rPr>
          <w:spacing w:val="-3"/>
          <w:sz w:val="22"/>
          <w:szCs w:val="22"/>
        </w:rPr>
        <w:t>.</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4. </w:t>
      </w:r>
      <w:r w:rsidRPr="00442A09">
        <w:rPr>
          <w:rFonts w:ascii="Bembo" w:hAnsi="Bembo" w:cs="Bembo"/>
          <w:b/>
        </w:rPr>
        <w:t>Update Table 12.2 for the most recent year for which data are available.</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data to update Table 12-2 is found in the July issue of the most recent year of </w:t>
      </w:r>
      <w:r w:rsidRPr="00442A09">
        <w:rPr>
          <w:spacing w:val="-3"/>
          <w:sz w:val="22"/>
          <w:szCs w:val="22"/>
        </w:rPr>
        <w:tab/>
        <w:t xml:space="preserve">the </w:t>
      </w:r>
      <w:r w:rsidRPr="00442A09">
        <w:rPr>
          <w:spacing w:val="-3"/>
          <w:sz w:val="22"/>
          <w:szCs w:val="22"/>
          <w:u w:val="single"/>
        </w:rPr>
        <w:t>Survey of Current Business</w:t>
      </w:r>
      <w:r w:rsidRPr="00442A09">
        <w:rPr>
          <w:spacing w:val="-3"/>
          <w:sz w:val="22"/>
          <w:szCs w:val="22"/>
        </w:rPr>
        <w:t>.</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5. </w:t>
      </w:r>
      <w:r w:rsidRPr="00442A09">
        <w:rPr>
          <w:rFonts w:ascii="Bembo" w:hAnsi="Bembo" w:cs="Bembo"/>
          <w:b/>
        </w:rPr>
        <w:t>Update Table 12.3 for the most recent year for which data are available.</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data to update Table 12-3 is found in the July issue of the most recent year of </w:t>
      </w:r>
      <w:r w:rsidRPr="00442A09">
        <w:rPr>
          <w:spacing w:val="-3"/>
          <w:sz w:val="22"/>
          <w:szCs w:val="22"/>
        </w:rPr>
        <w:tab/>
        <w:t xml:space="preserve">the </w:t>
      </w:r>
      <w:r w:rsidRPr="00442A09">
        <w:rPr>
          <w:spacing w:val="-3"/>
          <w:sz w:val="22"/>
          <w:szCs w:val="22"/>
          <w:u w:val="single"/>
        </w:rPr>
        <w:t>Survey of Current Business</w:t>
      </w:r>
      <w:r w:rsidRPr="00442A09">
        <w:rPr>
          <w:spacing w:val="-3"/>
          <w:sz w:val="22"/>
          <w:szCs w:val="22"/>
        </w:rPr>
        <w:t>.</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6. </w:t>
      </w:r>
      <w:r w:rsidRPr="00442A09">
        <w:rPr>
          <w:rFonts w:ascii="Bembo" w:hAnsi="Bembo" w:cs="Bembo"/>
          <w:b/>
        </w:rPr>
        <w:t>Update Table 12.4 for the most recent year for which data are available.</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data to update Table 12-4 is found in the July issue of the most recent year of </w:t>
      </w:r>
      <w:r w:rsidRPr="00442A09">
        <w:rPr>
          <w:spacing w:val="-3"/>
          <w:sz w:val="22"/>
          <w:szCs w:val="22"/>
        </w:rPr>
        <w:tab/>
        <w:t xml:space="preserve">the </w:t>
      </w:r>
      <w:r w:rsidRPr="00442A09">
        <w:rPr>
          <w:spacing w:val="-3"/>
          <w:sz w:val="22"/>
          <w:szCs w:val="22"/>
          <w:u w:val="single"/>
        </w:rPr>
        <w:t>Survey of Current Business</w:t>
      </w:r>
      <w:r w:rsidRPr="00442A09">
        <w:rPr>
          <w:spacing w:val="-3"/>
          <w:sz w:val="22"/>
          <w:szCs w:val="22"/>
        </w:rPr>
        <w:t>.</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Bembo" w:hAnsi="Bembo" w:cs="Bembo"/>
          <w:b/>
        </w:rPr>
        <w:t>*</w:t>
      </w:r>
      <w:r w:rsidRPr="00442A09">
        <w:rPr>
          <w:rFonts w:ascii="GarthGraphic-Bold" w:hAnsi="GarthGraphic-Bold" w:cs="GarthGraphic-Bold"/>
          <w:b/>
          <w:bCs/>
        </w:rPr>
        <w:t xml:space="preserve">7. </w:t>
      </w:r>
      <w:r w:rsidRPr="00442A09">
        <w:rPr>
          <w:rFonts w:ascii="Bembo" w:hAnsi="Bembo" w:cs="Bembo"/>
          <w:b/>
        </w:rPr>
        <w:t xml:space="preserve">Determine whether the following statement is true or false and explain why: </w:t>
      </w:r>
      <w:proofErr w:type="gramStart"/>
      <w:r w:rsidRPr="00442A09">
        <w:rPr>
          <w:rFonts w:ascii="Bembo" w:hAnsi="Bembo" w:cs="Bembo"/>
          <w:b/>
        </w:rPr>
        <w:t>‘‘The</w:t>
      </w:r>
      <w:proofErr w:type="gramEnd"/>
      <w:r w:rsidRPr="00442A09">
        <w:rPr>
          <w:rFonts w:ascii="Bembo" w:hAnsi="Bembo" w:cs="Bembo"/>
          <w:b/>
        </w:rPr>
        <w:t xml:space="preserve"> profitability of a portfolio of many securities can never exceed the yield of the highest-yield security in the portfolio, but it can have a risk lower than the lowest-risk security.’’</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Statement is true.  </w:t>
      </w: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profitability of a portfolio is equal to the weighted average of the yield of the </w:t>
      </w:r>
      <w:r w:rsidRPr="00442A09">
        <w:rPr>
          <w:spacing w:val="-3"/>
          <w:sz w:val="22"/>
          <w:szCs w:val="22"/>
        </w:rPr>
        <w:tab/>
        <w:t xml:space="preserve">securities included in the portfolio. Therefore, the profitability of a portfolio of many </w:t>
      </w:r>
      <w:r w:rsidRPr="00442A09">
        <w:rPr>
          <w:spacing w:val="-3"/>
          <w:sz w:val="22"/>
          <w:szCs w:val="22"/>
        </w:rPr>
        <w:tab/>
        <w:t xml:space="preserve">securities can never exceed the yield of the highest-yield security in the portfolio. </w:t>
      </w:r>
      <w:r w:rsidRPr="00442A09">
        <w:rPr>
          <w:spacing w:val="-3"/>
          <w:sz w:val="22"/>
          <w:szCs w:val="22"/>
        </w:rPr>
        <w:tab/>
        <w:t xml:space="preserve">The second part of the statement is also true if the portfolio includes securities for </w:t>
      </w:r>
      <w:r w:rsidRPr="00442A09">
        <w:rPr>
          <w:spacing w:val="-3"/>
          <w:sz w:val="22"/>
          <w:szCs w:val="22"/>
        </w:rPr>
        <w:tab/>
        <w:t>which yields are inversely correlated over time.</w:t>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8. </w:t>
      </w:r>
      <w:r w:rsidRPr="00442A09">
        <w:rPr>
          <w:rFonts w:ascii="Bembo" w:hAnsi="Bembo" w:cs="Bembo"/>
          <w:b/>
        </w:rPr>
        <w:t>Draw a figure similar to Figure 12.2 showing equal gains in two nations as a result of capital transfers from Nation 1 to Nation 2.</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See Figure 3. The gain of the investing country is EGR.</w:t>
      </w:r>
    </w:p>
    <w:p w:rsidR="00921AB3" w:rsidRPr="00442A09" w:rsidRDefault="00921AB3" w:rsidP="00921AB3">
      <w:pPr>
        <w:tabs>
          <w:tab w:val="left" w:pos="-720"/>
        </w:tabs>
        <w:suppressAutoHyphens/>
        <w:spacing w:line="276" w:lineRule="auto"/>
        <w:jc w:val="both"/>
        <w:rPr>
          <w:spacing w:val="-3"/>
          <w:sz w:val="22"/>
          <w:szCs w:val="22"/>
        </w:rPr>
      </w:pPr>
      <w:r>
        <w:rPr>
          <w:noProof/>
          <w:spacing w:val="-3"/>
          <w:sz w:val="22"/>
          <w:szCs w:val="22"/>
        </w:rPr>
        <w:drawing>
          <wp:inline distT="0" distB="0" distL="0" distR="0">
            <wp:extent cx="3009900" cy="2181225"/>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srcRect l="24040" t="36325" r="24837" b="34404"/>
                    <a:stretch>
                      <a:fillRect/>
                    </a:stretch>
                  </pic:blipFill>
                  <pic:spPr bwMode="auto">
                    <a:xfrm>
                      <a:off x="0" y="0"/>
                      <a:ext cx="3009900" cy="2181225"/>
                    </a:xfrm>
                    <a:prstGeom prst="rect">
                      <a:avLst/>
                    </a:prstGeom>
                    <a:noFill/>
                    <a:ln w="9525">
                      <a:noFill/>
                      <a:miter lim="800000"/>
                      <a:headEnd/>
                      <a:tailEnd/>
                    </a:ln>
                  </pic:spPr>
                </pic:pic>
              </a:graphicData>
            </a:graphic>
          </wp:inline>
        </w:drawing>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9. </w:t>
      </w:r>
      <w:r w:rsidRPr="00442A09">
        <w:rPr>
          <w:rFonts w:ascii="Bembo" w:hAnsi="Bembo" w:cs="Bembo"/>
          <w:b/>
        </w:rPr>
        <w:t>Draw a figure similar to Figure 12.2 showing</w:t>
      </w:r>
      <w:r>
        <w:rPr>
          <w:rFonts w:ascii="Bembo" w:hAnsi="Bembo" w:cs="Bembo"/>
          <w:b/>
        </w:rPr>
        <w:t xml:space="preserve"> </w:t>
      </w:r>
      <w:r w:rsidRPr="00442A09">
        <w:rPr>
          <w:rFonts w:ascii="Bembo" w:hAnsi="Bembo" w:cs="Bembo"/>
          <w:b/>
        </w:rPr>
        <w:t>greater gains for Nation 1 than for Nation 2 resulting from capital transfers from Nation 1 to Nation 2.</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See Figure 4. The gain of the host or receiving country is ERM.</w:t>
      </w:r>
    </w:p>
    <w:p w:rsidR="00921AB3" w:rsidRPr="00442A09" w:rsidRDefault="00921AB3" w:rsidP="00921AB3">
      <w:pPr>
        <w:tabs>
          <w:tab w:val="left" w:pos="-720"/>
        </w:tabs>
        <w:suppressAutoHyphens/>
        <w:spacing w:line="276" w:lineRule="auto"/>
        <w:jc w:val="both"/>
        <w:rPr>
          <w:spacing w:val="-3"/>
          <w:sz w:val="22"/>
          <w:szCs w:val="22"/>
        </w:rPr>
      </w:pPr>
      <w:r>
        <w:rPr>
          <w:noProof/>
          <w:spacing w:val="-3"/>
          <w:sz w:val="22"/>
          <w:szCs w:val="22"/>
        </w:rPr>
        <w:lastRenderedPageBreak/>
        <w:drawing>
          <wp:inline distT="0" distB="0" distL="0" distR="0">
            <wp:extent cx="2809875" cy="209550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l="25159" t="69704" r="26126" b="1799"/>
                    <a:stretch>
                      <a:fillRect/>
                    </a:stretch>
                  </pic:blipFill>
                  <pic:spPr bwMode="auto">
                    <a:xfrm>
                      <a:off x="0" y="0"/>
                      <a:ext cx="2809875" cy="2095500"/>
                    </a:xfrm>
                    <a:prstGeom prst="rect">
                      <a:avLst/>
                    </a:prstGeom>
                    <a:noFill/>
                    <a:ln w="9525">
                      <a:noFill/>
                      <a:miter lim="800000"/>
                      <a:headEnd/>
                      <a:tailEnd/>
                    </a:ln>
                  </pic:spPr>
                </pic:pic>
              </a:graphicData>
            </a:graphic>
          </wp:inline>
        </w:drawing>
      </w:r>
    </w:p>
    <w:p w:rsidR="00921AB3" w:rsidRPr="00442A09" w:rsidRDefault="00921AB3" w:rsidP="00921AB3">
      <w:pPr>
        <w:tabs>
          <w:tab w:val="left" w:pos="-72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10. </w:t>
      </w:r>
      <w:r w:rsidRPr="00442A09">
        <w:rPr>
          <w:rFonts w:ascii="Bembo" w:hAnsi="Bembo" w:cs="Bembo"/>
          <w:b/>
        </w:rPr>
        <w:t>What general principle can you deduce from your answer to the previous two problems and from Figure 12.1 as to the distribution of the total gains from international capital transfers between the investing and the host nation?</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general principle that can be deduced from the answers to the previous two </w:t>
      </w:r>
      <w:r w:rsidRPr="00442A09">
        <w:rPr>
          <w:spacing w:val="-3"/>
          <w:sz w:val="22"/>
          <w:szCs w:val="22"/>
        </w:rPr>
        <w:tab/>
        <w:t>problems and from Figure 12-1 is that the nation with the more rapidly declining VMP</w:t>
      </w:r>
      <w:r w:rsidRPr="00442A09">
        <w:rPr>
          <w:spacing w:val="-2"/>
          <w:sz w:val="22"/>
          <w:szCs w:val="22"/>
        </w:rPr>
        <w:t>K</w:t>
      </w:r>
      <w:r w:rsidRPr="00442A09">
        <w:rPr>
          <w:spacing w:val="-3"/>
          <w:sz w:val="22"/>
          <w:szCs w:val="22"/>
        </w:rPr>
        <w:t xml:space="preserve"> curve gains more. With the VMP</w:t>
      </w:r>
      <w:r w:rsidRPr="00442A09">
        <w:rPr>
          <w:spacing w:val="-3"/>
          <w:sz w:val="22"/>
          <w:szCs w:val="22"/>
          <w:vertAlign w:val="subscript"/>
        </w:rPr>
        <w:t>K</w:t>
      </w:r>
      <w:r w:rsidRPr="00442A09">
        <w:rPr>
          <w:spacing w:val="-3"/>
          <w:sz w:val="22"/>
          <w:szCs w:val="22"/>
        </w:rPr>
        <w:t xml:space="preserve"> curves declining at equal rates, both nations gain equal amounts. </w:t>
      </w:r>
    </w:p>
    <w:p w:rsidR="00921AB3" w:rsidRPr="00442A09" w:rsidRDefault="00921AB3" w:rsidP="00921AB3">
      <w:pPr>
        <w:tabs>
          <w:tab w:val="center" w:pos="468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GarthGraphic-Bold" w:hAnsi="GarthGraphic-Bold" w:cs="GarthGraphic-Bold"/>
          <w:b/>
          <w:bCs/>
        </w:rPr>
        <w:t xml:space="preserve">11. </w:t>
      </w:r>
      <w:r w:rsidRPr="00442A09">
        <w:rPr>
          <w:rFonts w:ascii="Bembo" w:hAnsi="Bembo" w:cs="Bembo"/>
          <w:b/>
        </w:rPr>
        <w:t>Explain why the rate of return on U.S. direct investment in developing nations often exceeds the rate of return on investment on U.S. direct investments in developed nations.</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The rate of return on U.S. direct investment in developing nations often exceeds the </w:t>
      </w:r>
      <w:r w:rsidRPr="00442A09">
        <w:rPr>
          <w:spacing w:val="-3"/>
          <w:sz w:val="22"/>
          <w:szCs w:val="22"/>
        </w:rPr>
        <w:tab/>
        <w:t xml:space="preserve">rate of return on investment on it investments in developed nations because of </w:t>
      </w:r>
      <w:r w:rsidRPr="00442A09">
        <w:rPr>
          <w:spacing w:val="-3"/>
          <w:sz w:val="22"/>
          <w:szCs w:val="22"/>
        </w:rPr>
        <w:tab/>
        <w:t xml:space="preserve">relative scarcity of capital and technology and lower wage rates in developing than </w:t>
      </w:r>
      <w:r w:rsidRPr="00442A09">
        <w:rPr>
          <w:spacing w:val="-3"/>
          <w:sz w:val="22"/>
          <w:szCs w:val="22"/>
        </w:rPr>
        <w:tab/>
        <w:t>in developed nations.</w:t>
      </w:r>
    </w:p>
    <w:p w:rsidR="00921AB3" w:rsidRPr="00442A09"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Bembo" w:hAnsi="Bembo" w:cs="Bembo"/>
          <w:b/>
        </w:rPr>
        <w:t>*</w:t>
      </w:r>
      <w:r w:rsidRPr="00442A09">
        <w:rPr>
          <w:rFonts w:ascii="GarthGraphic-Bold" w:hAnsi="GarthGraphic-Bold" w:cs="GarthGraphic-Bold"/>
          <w:b/>
          <w:bCs/>
        </w:rPr>
        <w:t xml:space="preserve">12. </w:t>
      </w:r>
      <w:r w:rsidRPr="00442A09">
        <w:rPr>
          <w:rFonts w:ascii="Bembo" w:hAnsi="Bembo" w:cs="Bembo"/>
          <w:b/>
        </w:rPr>
        <w:t>Using Figure 12.2, explain why organized labor in the United States opposes U.S. investments abroad.</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U.S. labor generally opposes U.S. investments abroad because they reduce the K/L </w:t>
      </w:r>
      <w:r w:rsidRPr="00442A09">
        <w:rPr>
          <w:spacing w:val="-3"/>
          <w:sz w:val="22"/>
          <w:szCs w:val="22"/>
        </w:rPr>
        <w:tab/>
        <w:t xml:space="preserve">ratio and the productivity and wages of labor in the United States. </w:t>
      </w:r>
    </w:p>
    <w:p w:rsidR="00921AB3"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b/>
        </w:rPr>
      </w:pPr>
      <w:r w:rsidRPr="00442A09">
        <w:rPr>
          <w:rFonts w:ascii="Bembo" w:hAnsi="Bembo" w:cs="Bembo"/>
          <w:b/>
        </w:rPr>
        <w:t>*</w:t>
      </w:r>
      <w:r w:rsidRPr="00442A09">
        <w:rPr>
          <w:rFonts w:ascii="GarthGraphic-Bold" w:hAnsi="GarthGraphic-Bold" w:cs="GarthGraphic-Bold"/>
          <w:b/>
          <w:bCs/>
        </w:rPr>
        <w:t xml:space="preserve">13. </w:t>
      </w:r>
      <w:r w:rsidRPr="00442A09">
        <w:rPr>
          <w:rFonts w:ascii="Bembo" w:hAnsi="Bembo" w:cs="Bembo"/>
          <w:b/>
        </w:rPr>
        <w:t xml:space="preserve">Using Figure 12.2, explain why labor in developing </w:t>
      </w:r>
      <w:proofErr w:type="gramStart"/>
      <w:r w:rsidRPr="00442A09">
        <w:rPr>
          <w:rFonts w:ascii="Bembo" w:hAnsi="Bembo" w:cs="Bembo"/>
          <w:b/>
        </w:rPr>
        <w:t>nations</w:t>
      </w:r>
      <w:proofErr w:type="gramEnd"/>
      <w:r w:rsidRPr="00442A09">
        <w:rPr>
          <w:rFonts w:ascii="Bembo" w:hAnsi="Bembo" w:cs="Bembo"/>
          <w:b/>
        </w:rPr>
        <w:t xml:space="preserve"> benefits from an inflow of foreign investments.</w:t>
      </w: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t xml:space="preserve">An inflow of foreign capital leads to an increase in the K/L ratio and in the </w:t>
      </w:r>
      <w:r w:rsidRPr="00442A09">
        <w:rPr>
          <w:spacing w:val="-3"/>
          <w:sz w:val="22"/>
          <w:szCs w:val="22"/>
        </w:rPr>
        <w:tab/>
        <w:t>productivity and wages of labor or employment in developing nations.</w:t>
      </w:r>
    </w:p>
    <w:p w:rsidR="00921AB3" w:rsidRDefault="00921AB3" w:rsidP="00921AB3">
      <w:pPr>
        <w:autoSpaceDE w:val="0"/>
        <w:autoSpaceDN w:val="0"/>
        <w:adjustRightInd w:val="0"/>
        <w:spacing w:line="276" w:lineRule="auto"/>
        <w:rPr>
          <w:rFonts w:ascii="GarthGraphic-Bold" w:hAnsi="GarthGraphic-Bold" w:cs="GarthGraphic-Bold"/>
          <w:b/>
          <w:bCs/>
        </w:rPr>
      </w:pPr>
    </w:p>
    <w:p w:rsidR="00921AB3" w:rsidRPr="00442A09" w:rsidRDefault="00921AB3" w:rsidP="00921AB3">
      <w:pPr>
        <w:autoSpaceDE w:val="0"/>
        <w:autoSpaceDN w:val="0"/>
        <w:adjustRightInd w:val="0"/>
        <w:spacing w:line="276" w:lineRule="auto"/>
        <w:rPr>
          <w:b/>
          <w:spacing w:val="-3"/>
          <w:sz w:val="28"/>
          <w:szCs w:val="22"/>
        </w:rPr>
      </w:pPr>
      <w:r w:rsidRPr="00442A09">
        <w:rPr>
          <w:rFonts w:ascii="GarthGraphic-Bold" w:hAnsi="GarthGraphic-Bold" w:cs="GarthGraphic-Bold"/>
          <w:b/>
          <w:bCs/>
        </w:rPr>
        <w:t xml:space="preserve">14. </w:t>
      </w:r>
      <w:r w:rsidRPr="00442A09">
        <w:rPr>
          <w:rFonts w:ascii="Bembo" w:hAnsi="Bembo" w:cs="Bembo"/>
          <w:b/>
        </w:rPr>
        <w:t xml:space="preserve">Update Table 12.6 for the most recent year for which data are available. How </w:t>
      </w:r>
      <w:proofErr w:type="gramStart"/>
      <w:r w:rsidRPr="00442A09">
        <w:rPr>
          <w:rFonts w:ascii="Bembo" w:hAnsi="Bembo" w:cs="Bembo"/>
          <w:b/>
        </w:rPr>
        <w:t>has the ranking of the world’s</w:t>
      </w:r>
      <w:proofErr w:type="gramEnd"/>
      <w:r w:rsidRPr="00442A09">
        <w:rPr>
          <w:rFonts w:ascii="Bembo" w:hAnsi="Bembo" w:cs="Bembo"/>
          <w:b/>
        </w:rPr>
        <w:t xml:space="preserve"> largest MNCs changed since 2006?</w:t>
      </w:r>
    </w:p>
    <w:p w:rsidR="00921AB3"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Default="00921AB3" w:rsidP="00921AB3">
      <w:pPr>
        <w:tabs>
          <w:tab w:val="left" w:pos="-720"/>
        </w:tabs>
        <w:suppressAutoHyphens/>
        <w:spacing w:line="276" w:lineRule="auto"/>
        <w:jc w:val="both"/>
        <w:rPr>
          <w:spacing w:val="-3"/>
          <w:sz w:val="22"/>
          <w:szCs w:val="22"/>
        </w:rPr>
      </w:pPr>
    </w:p>
    <w:p w:rsidR="00921AB3" w:rsidRPr="00442A09" w:rsidRDefault="00921AB3" w:rsidP="00921AB3">
      <w:pPr>
        <w:tabs>
          <w:tab w:val="left" w:pos="-720"/>
        </w:tabs>
        <w:suppressAutoHyphens/>
        <w:spacing w:line="276" w:lineRule="auto"/>
        <w:jc w:val="both"/>
        <w:rPr>
          <w:spacing w:val="-3"/>
          <w:sz w:val="22"/>
          <w:szCs w:val="22"/>
        </w:rPr>
      </w:pPr>
      <w:r w:rsidRPr="00442A09">
        <w:rPr>
          <w:spacing w:val="-3"/>
          <w:sz w:val="22"/>
          <w:szCs w:val="22"/>
        </w:rPr>
        <w:lastRenderedPageBreak/>
        <w:t xml:space="preserve">The data to update Table 12-6 are found in the World Investment Report published </w:t>
      </w:r>
      <w:r w:rsidRPr="00442A09">
        <w:rPr>
          <w:spacing w:val="-3"/>
          <w:sz w:val="22"/>
          <w:szCs w:val="22"/>
        </w:rPr>
        <w:tab/>
        <w:t xml:space="preserve">yearly by the United Nations for the most recent year. </w:t>
      </w:r>
    </w:p>
    <w:p w:rsidR="00921AB3"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Pr="00442A09" w:rsidRDefault="00921AB3" w:rsidP="00921AB3">
      <w:pPr>
        <w:autoSpaceDE w:val="0"/>
        <w:autoSpaceDN w:val="0"/>
        <w:adjustRightInd w:val="0"/>
        <w:spacing w:line="276" w:lineRule="auto"/>
        <w:rPr>
          <w:rFonts w:ascii="Bembo" w:hAnsi="Bembo" w:cs="Bembo"/>
          <w:i/>
        </w:rPr>
      </w:pPr>
      <w:r w:rsidRPr="00442A09">
        <w:rPr>
          <w:rFonts w:ascii="Bembo" w:hAnsi="Bembo" w:cs="Bembo"/>
          <w:i/>
        </w:rPr>
        <w:t>*= Answer provided at www.wiley.com/college/salvatore.</w:t>
      </w:r>
    </w:p>
    <w:p w:rsidR="00921AB3" w:rsidRPr="00442A09"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Pr="00442A09"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b/>
          <w:spacing w:val="-3"/>
          <w:szCs w:val="22"/>
          <w:u w:val="single"/>
        </w:rPr>
      </w:pPr>
      <w:r w:rsidRPr="00442A09">
        <w:rPr>
          <w:b/>
          <w:spacing w:val="-3"/>
          <w:szCs w:val="22"/>
          <w:u w:val="single"/>
        </w:rPr>
        <w:t>SUGGESTED ANSWERS TO PROBLEMS IN APPENDIX</w:t>
      </w:r>
    </w:p>
    <w:p w:rsidR="00921AB3" w:rsidRPr="00442A09"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Pr="006835F6" w:rsidRDefault="00921AB3" w:rsidP="00921AB3">
      <w:pPr>
        <w:autoSpaceDE w:val="0"/>
        <w:autoSpaceDN w:val="0"/>
        <w:adjustRightInd w:val="0"/>
        <w:rPr>
          <w:b/>
          <w:spacing w:val="-3"/>
          <w:szCs w:val="24"/>
        </w:rPr>
      </w:pPr>
      <w:r w:rsidRPr="006835F6">
        <w:rPr>
          <w:b/>
          <w:i/>
          <w:spacing w:val="-3"/>
          <w:szCs w:val="24"/>
        </w:rPr>
        <w:t xml:space="preserve">Appendix: Problem </w:t>
      </w:r>
      <w:proofErr w:type="gramStart"/>
      <w:r w:rsidRPr="006835F6">
        <w:rPr>
          <w:b/>
          <w:i/>
          <w:spacing w:val="-3"/>
          <w:szCs w:val="24"/>
        </w:rPr>
        <w:t xml:space="preserve">A12.1 </w:t>
      </w:r>
      <w:r w:rsidRPr="006835F6">
        <w:rPr>
          <w:rFonts w:ascii="Bembo" w:hAnsi="Bembo" w:cs="Bembo"/>
          <w:szCs w:val="24"/>
        </w:rPr>
        <w:t xml:space="preserve"> </w:t>
      </w:r>
      <w:r w:rsidRPr="006835F6">
        <w:rPr>
          <w:rFonts w:ascii="Bembo" w:hAnsi="Bembo" w:cs="Bembo"/>
          <w:b/>
          <w:szCs w:val="24"/>
        </w:rPr>
        <w:t>For</w:t>
      </w:r>
      <w:proofErr w:type="gramEnd"/>
      <w:r w:rsidRPr="006835F6">
        <w:rPr>
          <w:rFonts w:ascii="Bembo" w:hAnsi="Bembo" w:cs="Bembo"/>
          <w:b/>
          <w:szCs w:val="24"/>
        </w:rPr>
        <w:t xml:space="preserve"> the period from 1973 to 1980 (the time of the petroleum crisis), construct a table showing (a) the dollar price per barrel of Saudi Arabian petroleum exports, (b) the dollar value of the total exports of the nations belonging to the Organization of Petroleum Exporting Countries (OPEC), (c) the dollar value of the total imports of OPEC, and (d) the dollar value of U.S. petroleum imports. (</w:t>
      </w:r>
      <w:r w:rsidRPr="006835F6">
        <w:rPr>
          <w:rFonts w:ascii="Bembo-Italic" w:hAnsi="Bembo-Italic" w:cs="Bembo-Italic"/>
          <w:b/>
          <w:i/>
          <w:iCs/>
          <w:szCs w:val="24"/>
        </w:rPr>
        <w:t>Hint</w:t>
      </w:r>
      <w:r w:rsidRPr="006835F6">
        <w:rPr>
          <w:rFonts w:ascii="Bembo" w:hAnsi="Bembo" w:cs="Bembo"/>
          <w:b/>
          <w:szCs w:val="24"/>
        </w:rPr>
        <w:t xml:space="preserve">: Consult the 1981 issue of </w:t>
      </w:r>
      <w:r w:rsidRPr="006835F6">
        <w:rPr>
          <w:rFonts w:ascii="Bembo-Italic" w:hAnsi="Bembo-Italic" w:cs="Bembo-Italic"/>
          <w:b/>
          <w:i/>
          <w:iCs/>
          <w:szCs w:val="24"/>
        </w:rPr>
        <w:t>International Financial Statistics</w:t>
      </w:r>
      <w:r w:rsidRPr="006835F6">
        <w:rPr>
          <w:rFonts w:ascii="Bembo" w:hAnsi="Bembo" w:cs="Bembo"/>
          <w:b/>
          <w:szCs w:val="24"/>
        </w:rPr>
        <w:t>, published by the International Monetary Fund, in your library.)</w:t>
      </w:r>
      <w:r w:rsidRPr="006835F6">
        <w:rPr>
          <w:b/>
          <w:spacing w:val="-3"/>
          <w:szCs w:val="24"/>
        </w:rPr>
        <w:t xml:space="preserve"> </w:t>
      </w:r>
    </w:p>
    <w:p w:rsidR="00921AB3" w:rsidRPr="006835F6"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Cs w:val="24"/>
        </w:rPr>
      </w:pPr>
    </w:p>
    <w:p w:rsidR="00921AB3" w:rsidRPr="00442A09"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r w:rsidRPr="00442A09">
        <w:rPr>
          <w:spacing w:val="-3"/>
          <w:sz w:val="22"/>
          <w:szCs w:val="22"/>
        </w:rPr>
        <w:t>See Table 1.</w:t>
      </w:r>
    </w:p>
    <w:p w:rsidR="00921AB3" w:rsidRPr="00442A09" w:rsidRDefault="00921AB3" w:rsidP="00921AB3">
      <w:pPr>
        <w:tabs>
          <w:tab w:val="left" w:pos="-1440"/>
          <w:tab w:val="left" w:pos="-720"/>
          <w:tab w:val="left" w:pos="0"/>
          <w:tab w:val="left" w:pos="576"/>
          <w:tab w:val="left" w:pos="1152"/>
          <w:tab w:val="left" w:pos="1584"/>
          <w:tab w:val="left" w:pos="2160"/>
        </w:tabs>
        <w:suppressAutoHyphens/>
        <w:spacing w:line="276" w:lineRule="auto"/>
        <w:jc w:val="both"/>
        <w:rPr>
          <w:spacing w:val="-3"/>
          <w:sz w:val="22"/>
          <w:szCs w:val="22"/>
        </w:rPr>
      </w:pPr>
    </w:p>
    <w:p w:rsidR="00921AB3" w:rsidRPr="00442A09" w:rsidRDefault="00921AB3" w:rsidP="00921AB3">
      <w:pPr>
        <w:tabs>
          <w:tab w:val="center" w:pos="4680"/>
        </w:tabs>
        <w:suppressAutoHyphens/>
        <w:spacing w:line="276" w:lineRule="auto"/>
        <w:jc w:val="both"/>
        <w:rPr>
          <w:spacing w:val="-2"/>
          <w:sz w:val="22"/>
          <w:szCs w:val="22"/>
        </w:rPr>
      </w:pPr>
      <w:r w:rsidRPr="00442A09">
        <w:rPr>
          <w:spacing w:val="-2"/>
          <w:sz w:val="22"/>
          <w:szCs w:val="22"/>
        </w:rPr>
        <w:t>Table 1</w:t>
      </w:r>
    </w:p>
    <w:tbl>
      <w:tblPr>
        <w:tblW w:w="8565" w:type="dxa"/>
        <w:tblInd w:w="93" w:type="dxa"/>
        <w:tblLook w:val="0000" w:firstRow="0" w:lastRow="0" w:firstColumn="0" w:lastColumn="0" w:noHBand="0" w:noVBand="0"/>
      </w:tblPr>
      <w:tblGrid>
        <w:gridCol w:w="1095"/>
        <w:gridCol w:w="1710"/>
        <w:gridCol w:w="1710"/>
        <w:gridCol w:w="1710"/>
        <w:gridCol w:w="2340"/>
      </w:tblGrid>
      <w:tr w:rsidR="00921AB3" w:rsidRPr="00442A09" w:rsidTr="0096262A">
        <w:trPr>
          <w:trHeight w:val="255"/>
        </w:trPr>
        <w:tc>
          <w:tcPr>
            <w:tcW w:w="1095" w:type="dxa"/>
            <w:tcBorders>
              <w:top w:val="single" w:sz="8" w:space="0" w:color="auto"/>
              <w:left w:val="single" w:sz="8" w:space="0" w:color="auto"/>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 </w:t>
            </w:r>
          </w:p>
        </w:tc>
        <w:tc>
          <w:tcPr>
            <w:tcW w:w="1710" w:type="dxa"/>
            <w:tcBorders>
              <w:top w:val="single" w:sz="8" w:space="0" w:color="auto"/>
              <w:left w:val="nil"/>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(a)</w:t>
            </w:r>
          </w:p>
        </w:tc>
        <w:tc>
          <w:tcPr>
            <w:tcW w:w="1710" w:type="dxa"/>
            <w:tcBorders>
              <w:top w:val="single" w:sz="8" w:space="0" w:color="auto"/>
              <w:left w:val="nil"/>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(b)</w:t>
            </w:r>
          </w:p>
        </w:tc>
        <w:tc>
          <w:tcPr>
            <w:tcW w:w="1710" w:type="dxa"/>
            <w:tcBorders>
              <w:top w:val="single" w:sz="8" w:space="0" w:color="auto"/>
              <w:left w:val="nil"/>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(c)</w:t>
            </w:r>
          </w:p>
        </w:tc>
        <w:tc>
          <w:tcPr>
            <w:tcW w:w="2340" w:type="dxa"/>
            <w:tcBorders>
              <w:top w:val="single" w:sz="8" w:space="0" w:color="auto"/>
              <w:left w:val="nil"/>
              <w:bottom w:val="single" w:sz="4" w:space="0" w:color="FFFFFF"/>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(d)</w:t>
            </w:r>
          </w:p>
        </w:tc>
      </w:tr>
      <w:tr w:rsidR="00921AB3" w:rsidRPr="00442A09" w:rsidTr="0096262A">
        <w:trPr>
          <w:trHeight w:val="255"/>
        </w:trPr>
        <w:tc>
          <w:tcPr>
            <w:tcW w:w="1095" w:type="dxa"/>
            <w:tcBorders>
              <w:top w:val="nil"/>
              <w:left w:val="single" w:sz="8" w:space="0" w:color="auto"/>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Year</w:t>
            </w:r>
          </w:p>
        </w:tc>
        <w:tc>
          <w:tcPr>
            <w:tcW w:w="1710" w:type="dxa"/>
            <w:tcBorders>
              <w:top w:val="nil"/>
              <w:left w:val="nil"/>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Petroleum Price</w:t>
            </w:r>
          </w:p>
        </w:tc>
        <w:tc>
          <w:tcPr>
            <w:tcW w:w="1710" w:type="dxa"/>
            <w:tcBorders>
              <w:top w:val="nil"/>
              <w:left w:val="nil"/>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OPEC Exports</w:t>
            </w:r>
          </w:p>
        </w:tc>
        <w:tc>
          <w:tcPr>
            <w:tcW w:w="1710" w:type="dxa"/>
            <w:tcBorders>
              <w:top w:val="nil"/>
              <w:left w:val="nil"/>
              <w:bottom w:val="single" w:sz="4" w:space="0" w:color="FFFFFF"/>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OPEC Imports</w:t>
            </w:r>
          </w:p>
        </w:tc>
        <w:tc>
          <w:tcPr>
            <w:tcW w:w="2340" w:type="dxa"/>
            <w:tcBorders>
              <w:top w:val="nil"/>
              <w:left w:val="nil"/>
              <w:bottom w:val="single" w:sz="4" w:space="0" w:color="FFFFFF"/>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US Petroleum Imports</w:t>
            </w:r>
          </w:p>
        </w:tc>
      </w:tr>
      <w:tr w:rsidR="00921AB3" w:rsidRPr="00442A09" w:rsidTr="0096262A">
        <w:trPr>
          <w:trHeight w:val="270"/>
        </w:trPr>
        <w:tc>
          <w:tcPr>
            <w:tcW w:w="1095" w:type="dxa"/>
            <w:tcBorders>
              <w:top w:val="nil"/>
              <w:left w:val="single" w:sz="8" w:space="0" w:color="auto"/>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 </w:t>
            </w:r>
          </w:p>
        </w:tc>
        <w:tc>
          <w:tcPr>
            <w:tcW w:w="1710" w:type="dxa"/>
            <w:tcBorders>
              <w:top w:val="nil"/>
              <w:left w:val="nil"/>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(US $/barrel)</w:t>
            </w:r>
          </w:p>
        </w:tc>
        <w:tc>
          <w:tcPr>
            <w:tcW w:w="1710" w:type="dxa"/>
            <w:tcBorders>
              <w:top w:val="nil"/>
              <w:left w:val="nil"/>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w:t>
            </w:r>
            <w:proofErr w:type="gramStart"/>
            <w:r w:rsidRPr="00442A09">
              <w:rPr>
                <w:sz w:val="22"/>
                <w:szCs w:val="22"/>
              </w:rPr>
              <w:t>bill</w:t>
            </w:r>
            <w:proofErr w:type="gramEnd"/>
            <w:r w:rsidRPr="00442A09">
              <w:rPr>
                <w:sz w:val="22"/>
                <w:szCs w:val="22"/>
              </w:rPr>
              <w:t>. $)</w:t>
            </w:r>
          </w:p>
        </w:tc>
        <w:tc>
          <w:tcPr>
            <w:tcW w:w="1710" w:type="dxa"/>
            <w:tcBorders>
              <w:top w:val="nil"/>
              <w:left w:val="nil"/>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w:t>
            </w:r>
            <w:proofErr w:type="gramStart"/>
            <w:r w:rsidRPr="00442A09">
              <w:rPr>
                <w:sz w:val="22"/>
                <w:szCs w:val="22"/>
              </w:rPr>
              <w:t>bill</w:t>
            </w:r>
            <w:proofErr w:type="gramEnd"/>
            <w:r w:rsidRPr="00442A09">
              <w:rPr>
                <w:sz w:val="22"/>
                <w:szCs w:val="22"/>
              </w:rPr>
              <w:t>. $)</w:t>
            </w:r>
          </w:p>
        </w:tc>
        <w:tc>
          <w:tcPr>
            <w:tcW w:w="2340" w:type="dxa"/>
            <w:tcBorders>
              <w:top w:val="nil"/>
              <w:left w:val="nil"/>
              <w:bottom w:val="single" w:sz="8"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w:t>
            </w:r>
            <w:proofErr w:type="gramStart"/>
            <w:r w:rsidRPr="00442A09">
              <w:rPr>
                <w:sz w:val="22"/>
                <w:szCs w:val="22"/>
              </w:rPr>
              <w:t>bill</w:t>
            </w:r>
            <w:proofErr w:type="gramEnd"/>
            <w:r w:rsidRPr="00442A09">
              <w:rPr>
                <w:sz w:val="22"/>
                <w:szCs w:val="22"/>
              </w:rPr>
              <w:t>. $)</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1973</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2.7</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39</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20.1</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7.6</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1974</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9.76</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119.3</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32.1</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26.1</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1975</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10.72</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109.8</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51.3</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26.5</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1976</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11.51</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133</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62.2</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34.1</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1977</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12.4</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146</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83.8</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44.2</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1978</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12.7</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141.9</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94.9</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41.6</w:t>
            </w:r>
          </w:p>
        </w:tc>
      </w:tr>
      <w:tr w:rsidR="00921AB3" w:rsidRPr="00442A09" w:rsidTr="0096262A">
        <w:trPr>
          <w:trHeight w:val="255"/>
        </w:trPr>
        <w:tc>
          <w:tcPr>
            <w:tcW w:w="1095" w:type="dxa"/>
            <w:tcBorders>
              <w:top w:val="nil"/>
              <w:left w:val="single" w:sz="8" w:space="0" w:color="auto"/>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1979</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16.97</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208</w:t>
            </w:r>
          </w:p>
        </w:tc>
        <w:tc>
          <w:tcPr>
            <w:tcW w:w="1710" w:type="dxa"/>
            <w:tcBorders>
              <w:top w:val="nil"/>
              <w:left w:val="nil"/>
              <w:bottom w:val="single" w:sz="4"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101.6</w:t>
            </w:r>
          </w:p>
        </w:tc>
        <w:tc>
          <w:tcPr>
            <w:tcW w:w="2340" w:type="dxa"/>
            <w:tcBorders>
              <w:top w:val="nil"/>
              <w:left w:val="nil"/>
              <w:bottom w:val="single" w:sz="4"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58.6</w:t>
            </w:r>
          </w:p>
        </w:tc>
      </w:tr>
      <w:tr w:rsidR="00921AB3" w:rsidRPr="00442A09" w:rsidTr="0096262A">
        <w:trPr>
          <w:trHeight w:val="255"/>
        </w:trPr>
        <w:tc>
          <w:tcPr>
            <w:tcW w:w="1095" w:type="dxa"/>
            <w:tcBorders>
              <w:top w:val="nil"/>
              <w:left w:val="single" w:sz="8" w:space="0" w:color="auto"/>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pacing w:val="-2"/>
                <w:sz w:val="22"/>
                <w:szCs w:val="22"/>
              </w:rPr>
              <w:t>1980</w:t>
            </w:r>
          </w:p>
        </w:tc>
        <w:tc>
          <w:tcPr>
            <w:tcW w:w="1710" w:type="dxa"/>
            <w:tcBorders>
              <w:top w:val="nil"/>
              <w:left w:val="nil"/>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28.67</w:t>
            </w:r>
          </w:p>
        </w:tc>
        <w:tc>
          <w:tcPr>
            <w:tcW w:w="1710" w:type="dxa"/>
            <w:tcBorders>
              <w:top w:val="nil"/>
              <w:left w:val="nil"/>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294.2</w:t>
            </w:r>
          </w:p>
        </w:tc>
        <w:tc>
          <w:tcPr>
            <w:tcW w:w="1710" w:type="dxa"/>
            <w:tcBorders>
              <w:top w:val="nil"/>
              <w:left w:val="nil"/>
              <w:bottom w:val="single" w:sz="8" w:space="0" w:color="auto"/>
              <w:right w:val="single" w:sz="4" w:space="0" w:color="auto"/>
            </w:tcBorders>
            <w:noWrap/>
            <w:vAlign w:val="bottom"/>
          </w:tcPr>
          <w:p w:rsidR="00921AB3" w:rsidRPr="00442A09" w:rsidRDefault="00921AB3" w:rsidP="0096262A">
            <w:pPr>
              <w:spacing w:line="276" w:lineRule="auto"/>
              <w:jc w:val="center"/>
              <w:rPr>
                <w:szCs w:val="22"/>
              </w:rPr>
            </w:pPr>
            <w:r w:rsidRPr="00442A09">
              <w:rPr>
                <w:sz w:val="22"/>
                <w:szCs w:val="22"/>
              </w:rPr>
              <w:t>133.2</w:t>
            </w:r>
          </w:p>
        </w:tc>
        <w:tc>
          <w:tcPr>
            <w:tcW w:w="2340" w:type="dxa"/>
            <w:tcBorders>
              <w:top w:val="nil"/>
              <w:left w:val="nil"/>
              <w:bottom w:val="single" w:sz="8" w:space="0" w:color="auto"/>
              <w:right w:val="single" w:sz="8" w:space="0" w:color="auto"/>
            </w:tcBorders>
            <w:noWrap/>
            <w:vAlign w:val="bottom"/>
          </w:tcPr>
          <w:p w:rsidR="00921AB3" w:rsidRPr="00442A09" w:rsidRDefault="00921AB3" w:rsidP="0096262A">
            <w:pPr>
              <w:spacing w:line="276" w:lineRule="auto"/>
              <w:jc w:val="center"/>
              <w:rPr>
                <w:szCs w:val="22"/>
              </w:rPr>
            </w:pPr>
            <w:r w:rsidRPr="00442A09">
              <w:rPr>
                <w:sz w:val="22"/>
                <w:szCs w:val="22"/>
              </w:rPr>
              <w:t>76.9</w:t>
            </w:r>
          </w:p>
        </w:tc>
      </w:tr>
    </w:tbl>
    <w:p w:rsidR="00921AB3" w:rsidRPr="00442A09" w:rsidRDefault="00921AB3" w:rsidP="00921AB3">
      <w:pPr>
        <w:tabs>
          <w:tab w:val="left" w:pos="-1440"/>
          <w:tab w:val="left" w:pos="-720"/>
          <w:tab w:val="left" w:pos="1728"/>
          <w:tab w:val="left" w:pos="4176"/>
          <w:tab w:val="left" w:pos="6336"/>
          <w:tab w:val="left" w:pos="8928"/>
          <w:tab w:val="left" w:pos="11520"/>
        </w:tabs>
        <w:suppressAutoHyphens/>
        <w:spacing w:line="276" w:lineRule="auto"/>
        <w:jc w:val="both"/>
        <w:rPr>
          <w:spacing w:val="-2"/>
          <w:sz w:val="22"/>
          <w:szCs w:val="22"/>
        </w:rPr>
      </w:pPr>
      <w:r w:rsidRPr="00442A09">
        <w:rPr>
          <w:spacing w:val="-2"/>
          <w:sz w:val="22"/>
          <w:szCs w:val="22"/>
        </w:rPr>
        <w:t xml:space="preserve">Source:  </w:t>
      </w:r>
      <w:r w:rsidRPr="00442A09">
        <w:rPr>
          <w:spacing w:val="-2"/>
          <w:sz w:val="22"/>
          <w:szCs w:val="22"/>
          <w:u w:val="single"/>
        </w:rPr>
        <w:t>International Financial Statistics</w:t>
      </w:r>
      <w:r w:rsidRPr="00442A09">
        <w:rPr>
          <w:spacing w:val="-2"/>
          <w:sz w:val="22"/>
          <w:szCs w:val="22"/>
        </w:rPr>
        <w:t>, 1981 Yearbook.</w:t>
      </w:r>
    </w:p>
    <w:p w:rsidR="00921AB3" w:rsidRPr="00442A09" w:rsidRDefault="00921AB3" w:rsidP="00921AB3">
      <w:pPr>
        <w:tabs>
          <w:tab w:val="left" w:pos="-1440"/>
          <w:tab w:val="left" w:pos="-720"/>
          <w:tab w:val="left" w:pos="1728"/>
          <w:tab w:val="left" w:pos="4176"/>
          <w:tab w:val="left" w:pos="6336"/>
          <w:tab w:val="left" w:pos="8928"/>
          <w:tab w:val="left" w:pos="11520"/>
        </w:tabs>
        <w:suppressAutoHyphens/>
        <w:spacing w:line="276" w:lineRule="auto"/>
        <w:jc w:val="both"/>
        <w:rPr>
          <w:spacing w:val="-2"/>
          <w:sz w:val="22"/>
          <w:szCs w:val="22"/>
        </w:rPr>
      </w:pPr>
      <w:r w:rsidRPr="00442A09">
        <w:rPr>
          <w:spacing w:val="-2"/>
          <w:sz w:val="22"/>
          <w:szCs w:val="22"/>
        </w:rPr>
        <w:t xml:space="preserve">Petroleum prices refer to Saudi Arabian prices </w:t>
      </w:r>
    </w:p>
    <w:p w:rsidR="00921AB3" w:rsidRPr="00442A09" w:rsidRDefault="00921AB3" w:rsidP="00921AB3">
      <w:pPr>
        <w:tabs>
          <w:tab w:val="left" w:pos="-1440"/>
          <w:tab w:val="left" w:pos="-720"/>
          <w:tab w:val="left" w:pos="432"/>
          <w:tab w:val="left" w:pos="864"/>
          <w:tab w:val="left" w:pos="1728"/>
          <w:tab w:val="left" w:pos="4176"/>
          <w:tab w:val="left" w:pos="6336"/>
          <w:tab w:val="left" w:pos="8928"/>
          <w:tab w:val="left" w:pos="11520"/>
        </w:tabs>
        <w:suppressAutoHyphens/>
        <w:spacing w:line="276" w:lineRule="auto"/>
        <w:jc w:val="both"/>
        <w:rPr>
          <w:spacing w:val="-3"/>
          <w:sz w:val="22"/>
          <w:szCs w:val="22"/>
        </w:rPr>
      </w:pPr>
    </w:p>
    <w:p w:rsidR="00921AB3" w:rsidRPr="00442A09" w:rsidRDefault="00921AB3" w:rsidP="00921AB3">
      <w:pPr>
        <w:tabs>
          <w:tab w:val="left" w:pos="-1440"/>
          <w:tab w:val="left" w:pos="-720"/>
          <w:tab w:val="left" w:pos="0"/>
          <w:tab w:val="left" w:pos="1728"/>
          <w:tab w:val="left" w:pos="4176"/>
          <w:tab w:val="left" w:pos="6336"/>
          <w:tab w:val="left" w:pos="8928"/>
          <w:tab w:val="left" w:pos="11520"/>
        </w:tabs>
        <w:suppressAutoHyphens/>
        <w:spacing w:line="276" w:lineRule="auto"/>
        <w:jc w:val="both"/>
        <w:rPr>
          <w:spacing w:val="-3"/>
          <w:sz w:val="22"/>
          <w:szCs w:val="22"/>
        </w:rPr>
      </w:pPr>
    </w:p>
    <w:p w:rsidR="00077679" w:rsidRDefault="00077679"/>
    <w:sectPr w:rsidR="00077679" w:rsidSect="00921A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lgun Gothic">
    <w:panose1 w:val="020B0503020000020004"/>
    <w:charset w:val="81"/>
    <w:family w:val="swiss"/>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thGraphic-Bold">
    <w:panose1 w:val="00000000000000000000"/>
    <w:charset w:val="00"/>
    <w:family w:val="roman"/>
    <w:notTrueType/>
    <w:pitch w:val="default"/>
    <w:sig w:usb0="00000003" w:usb1="00000000" w:usb2="00000000" w:usb3="00000000" w:csb0="00000001" w:csb1="00000000"/>
  </w:font>
  <w:font w:name="Bembo">
    <w:panose1 w:val="00000000000000000000"/>
    <w:charset w:val="00"/>
    <w:family w:val="roman"/>
    <w:notTrueType/>
    <w:pitch w:val="default"/>
    <w:sig w:usb0="00000003" w:usb1="00000000" w:usb2="00000000" w:usb3="00000000" w:csb0="00000001" w:csb1="00000000"/>
  </w:font>
  <w:font w:name="Bembo-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AB3"/>
    <w:rsid w:val="00077679"/>
    <w:rsid w:val="002A08BE"/>
    <w:rsid w:val="00921AB3"/>
    <w:rsid w:val="00C14FA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33FE3C7-D986-43E0-A586-587605D85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1AB3"/>
    <w:pPr>
      <w:spacing w:after="0" w:line="240" w:lineRule="auto"/>
    </w:pPr>
    <w:rPr>
      <w:rFonts w:ascii="Times New Roman" w:eastAsia="Times New Roman" w:hAnsi="Times New Roman" w:cs="Times New Roman"/>
      <w:sz w:val="24"/>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1AB3"/>
    <w:rPr>
      <w:rFonts w:ascii="Tahoma" w:hAnsi="Tahoma" w:cs="Tahoma"/>
      <w:sz w:val="16"/>
      <w:szCs w:val="16"/>
    </w:rPr>
  </w:style>
  <w:style w:type="character" w:customStyle="1" w:styleId="BalloonTextChar">
    <w:name w:val="Balloon Text Char"/>
    <w:basedOn w:val="DefaultParagraphFont"/>
    <w:link w:val="BalloonText"/>
    <w:uiPriority w:val="99"/>
    <w:semiHidden/>
    <w:rsid w:val="00921AB3"/>
    <w:rPr>
      <w:rFonts w:ascii="Tahoma" w:eastAsia="Times New Roman"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813</Words>
  <Characters>4638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XPION</dc:creator>
  <cp:keywords/>
  <dc:description/>
  <cp:lastModifiedBy>Leigh-ann Bailie</cp:lastModifiedBy>
  <cp:revision>2</cp:revision>
  <dcterms:created xsi:type="dcterms:W3CDTF">2015-04-08T14:37:00Z</dcterms:created>
  <dcterms:modified xsi:type="dcterms:W3CDTF">2015-04-08T14:37:00Z</dcterms:modified>
</cp:coreProperties>
</file>