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FDB" w:rsidRPr="0075553B" w:rsidRDefault="00D65CCD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1:</w:t>
      </w:r>
      <w:bookmarkStart w:id="0" w:name="_GoBack"/>
      <w:bookmarkEnd w:id="0"/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Explain why there is a need for unjustified enrichment liability in any developed system of law?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Explain why reference to </w:t>
      </w:r>
      <w:r w:rsidR="00B258BF" w:rsidRPr="0075553B">
        <w:rPr>
          <w:rFonts w:ascii="Arial" w:hAnsi="Arial" w:cs="Arial"/>
          <w:sz w:val="24"/>
          <w:szCs w:val="24"/>
        </w:rPr>
        <w:t>Roman</w:t>
      </w:r>
      <w:r w:rsidRPr="0075553B">
        <w:rPr>
          <w:rFonts w:ascii="Arial" w:hAnsi="Arial" w:cs="Arial"/>
          <w:sz w:val="24"/>
          <w:szCs w:val="24"/>
        </w:rPr>
        <w:t xml:space="preserve"> law is applicable today with reference to enrichment liability?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Define the requirements of enrichment liability?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</w:p>
    <w:p w:rsidR="00D65CCD" w:rsidRPr="0075553B" w:rsidRDefault="00D65CCD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2: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What does it mean if it is said that enrichment liability is based on the movement of assets from the plaintiff to the defendant?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Can a potential benefit and a moral benefit form part of enrichment for the purposes of law, refer to case law?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Name two instances where indirect enrichment as identified in </w:t>
      </w:r>
      <w:r w:rsidR="00B258BF" w:rsidRPr="0075553B">
        <w:rPr>
          <w:rFonts w:ascii="Arial" w:hAnsi="Arial" w:cs="Arial"/>
          <w:sz w:val="24"/>
          <w:szCs w:val="24"/>
        </w:rPr>
        <w:t>buzzard’s</w:t>
      </w:r>
      <w:r w:rsidRPr="0075553B">
        <w:rPr>
          <w:rFonts w:ascii="Arial" w:hAnsi="Arial" w:cs="Arial"/>
          <w:sz w:val="24"/>
          <w:szCs w:val="24"/>
        </w:rPr>
        <w:t xml:space="preserve"> case occurred?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the position of the plaintiff in </w:t>
      </w:r>
      <w:r w:rsidR="00B258BF" w:rsidRPr="0075553B">
        <w:rPr>
          <w:rFonts w:ascii="Arial" w:hAnsi="Arial" w:cs="Arial"/>
          <w:sz w:val="24"/>
          <w:szCs w:val="24"/>
        </w:rPr>
        <w:t>buzzard’s</w:t>
      </w:r>
      <w:r w:rsidRPr="0075553B">
        <w:rPr>
          <w:rFonts w:ascii="Arial" w:hAnsi="Arial" w:cs="Arial"/>
          <w:sz w:val="24"/>
          <w:szCs w:val="24"/>
        </w:rPr>
        <w:t xml:space="preserve"> case with reference to enrichment liability?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Give an example from case law where the courts incorrectly applied sine causa requirement?</w:t>
      </w:r>
    </w:p>
    <w:p w:rsidR="00D65CCD" w:rsidRPr="0075553B" w:rsidRDefault="00D65CCD" w:rsidP="0075553B">
      <w:pPr>
        <w:jc w:val="both"/>
        <w:rPr>
          <w:rFonts w:ascii="Arial" w:hAnsi="Arial" w:cs="Arial"/>
          <w:sz w:val="24"/>
          <w:szCs w:val="24"/>
        </w:rPr>
      </w:pPr>
    </w:p>
    <w:p w:rsidR="00D65CCD" w:rsidRPr="0075553B" w:rsidRDefault="00D65CCD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3:</w:t>
      </w:r>
    </w:p>
    <w:p w:rsidR="00D65CCD" w:rsidRPr="0075553B" w:rsidRDefault="00026903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3 requirements of condictio indebiti?</w:t>
      </w:r>
    </w:p>
    <w:p w:rsidR="002A584F" w:rsidRPr="0075553B" w:rsidRDefault="002A584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Explain the position of the mala fide receiver of un</w:t>
      </w:r>
      <w:r w:rsidR="0075553B">
        <w:rPr>
          <w:rFonts w:ascii="Arial" w:hAnsi="Arial" w:cs="Arial"/>
          <w:sz w:val="24"/>
          <w:szCs w:val="24"/>
        </w:rPr>
        <w:t>-</w:t>
      </w:r>
      <w:r w:rsidRPr="0075553B">
        <w:rPr>
          <w:rFonts w:ascii="Arial" w:hAnsi="Arial" w:cs="Arial"/>
          <w:sz w:val="24"/>
          <w:szCs w:val="24"/>
        </w:rPr>
        <w:t xml:space="preserve">owed performance in </w:t>
      </w:r>
      <w:r w:rsidR="00B258BF" w:rsidRPr="0075553B">
        <w:rPr>
          <w:rFonts w:ascii="Arial" w:hAnsi="Arial" w:cs="Arial"/>
          <w:sz w:val="24"/>
          <w:szCs w:val="24"/>
        </w:rPr>
        <w:t>Roman</w:t>
      </w:r>
      <w:r w:rsidRPr="0075553B">
        <w:rPr>
          <w:rFonts w:ascii="Arial" w:hAnsi="Arial" w:cs="Arial"/>
          <w:sz w:val="24"/>
          <w:szCs w:val="24"/>
        </w:rPr>
        <w:t xml:space="preserve"> law?</w:t>
      </w:r>
    </w:p>
    <w:p w:rsidR="002A584F" w:rsidRPr="0075553B" w:rsidRDefault="002A584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Explain what can be claimed for in condictio indebiti?</w:t>
      </w:r>
    </w:p>
    <w:p w:rsidR="002A584F" w:rsidRPr="0075553B" w:rsidRDefault="002A584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the defence of non-enrichment with condictio indebiti as applied in case law in </w:t>
      </w:r>
      <w:r w:rsidR="00B258BF" w:rsidRPr="0075553B">
        <w:rPr>
          <w:rFonts w:ascii="Arial" w:hAnsi="Arial" w:cs="Arial"/>
          <w:sz w:val="24"/>
          <w:szCs w:val="24"/>
        </w:rPr>
        <w:t>South</w:t>
      </w:r>
      <w:r w:rsidRPr="0075553B">
        <w:rPr>
          <w:rFonts w:ascii="Arial" w:hAnsi="Arial" w:cs="Arial"/>
          <w:sz w:val="24"/>
          <w:szCs w:val="24"/>
        </w:rPr>
        <w:t xml:space="preserve"> Africa?</w:t>
      </w:r>
    </w:p>
    <w:p w:rsidR="002A584F" w:rsidRPr="0075553B" w:rsidRDefault="002A584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requirements that the plaintiff should have been aware that the performance was not due?</w:t>
      </w:r>
    </w:p>
    <w:p w:rsidR="002A584F" w:rsidRDefault="002A584F" w:rsidP="0075553B">
      <w:pPr>
        <w:jc w:val="both"/>
        <w:rPr>
          <w:rFonts w:ascii="Arial" w:hAnsi="Arial" w:cs="Arial"/>
          <w:sz w:val="24"/>
          <w:szCs w:val="24"/>
        </w:rPr>
      </w:pPr>
    </w:p>
    <w:p w:rsidR="0075553B" w:rsidRDefault="0075553B" w:rsidP="0075553B">
      <w:pPr>
        <w:jc w:val="both"/>
        <w:rPr>
          <w:rFonts w:ascii="Arial" w:hAnsi="Arial" w:cs="Arial"/>
          <w:sz w:val="24"/>
          <w:szCs w:val="24"/>
        </w:rPr>
      </w:pPr>
    </w:p>
    <w:p w:rsidR="0075553B" w:rsidRPr="0075553B" w:rsidRDefault="0075553B" w:rsidP="0075553B">
      <w:pPr>
        <w:jc w:val="both"/>
        <w:rPr>
          <w:rFonts w:ascii="Arial" w:hAnsi="Arial" w:cs="Arial"/>
          <w:sz w:val="24"/>
          <w:szCs w:val="24"/>
        </w:rPr>
      </w:pPr>
    </w:p>
    <w:p w:rsidR="00026903" w:rsidRPr="0075553B" w:rsidRDefault="002A584F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Question 4: </w:t>
      </w:r>
    </w:p>
    <w:p w:rsidR="002A584F" w:rsidRPr="0075553B" w:rsidRDefault="002A584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statutory enrichment action which was created by section 28 of the alienation act and explain why this provision should be regarded as a developed enrichment action?</w:t>
      </w:r>
    </w:p>
    <w:p w:rsidR="00E40D8B" w:rsidRPr="0075553B" w:rsidRDefault="002A584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Briefly discuss the condictio indebiti action in the law of succession?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</w:p>
    <w:p w:rsidR="002A584F" w:rsidRPr="0075553B" w:rsidRDefault="002A584F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5:</w:t>
      </w:r>
    </w:p>
    <w:p w:rsidR="002A584F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briefly the application of condictio ob turpem in </w:t>
      </w:r>
      <w:r w:rsidR="00B258BF" w:rsidRPr="0075553B">
        <w:rPr>
          <w:rFonts w:ascii="Arial" w:hAnsi="Arial" w:cs="Arial"/>
          <w:sz w:val="24"/>
          <w:szCs w:val="24"/>
        </w:rPr>
        <w:t>Roman</w:t>
      </w:r>
      <w:r w:rsidRPr="0075553B">
        <w:rPr>
          <w:rFonts w:ascii="Arial" w:hAnsi="Arial" w:cs="Arial"/>
          <w:sz w:val="24"/>
          <w:szCs w:val="24"/>
        </w:rPr>
        <w:t xml:space="preserve"> law and the requirements set for this action?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what can be claimed?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and explain the application in </w:t>
      </w:r>
      <w:r w:rsidR="00B258BF" w:rsidRPr="0075553B">
        <w:rPr>
          <w:rFonts w:ascii="Arial" w:hAnsi="Arial" w:cs="Arial"/>
          <w:sz w:val="24"/>
          <w:szCs w:val="24"/>
        </w:rPr>
        <w:t>South</w:t>
      </w:r>
      <w:r w:rsidRPr="0075553B">
        <w:rPr>
          <w:rFonts w:ascii="Arial" w:hAnsi="Arial" w:cs="Arial"/>
          <w:sz w:val="24"/>
          <w:szCs w:val="24"/>
        </w:rPr>
        <w:t xml:space="preserve"> African law and refer to tests used in case law to establish whether an agreement is unlawful?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Explain the relaxation of par delictum rule and the test for turpis persona with reference to the decision in the cassim case?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</w:p>
    <w:p w:rsidR="00D65CCD" w:rsidRPr="0075553B" w:rsidRDefault="00E40D8B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6: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Briefly discuss the application of condictio causa data in </w:t>
      </w:r>
      <w:r w:rsidR="00B258BF" w:rsidRPr="0075553B">
        <w:rPr>
          <w:rFonts w:ascii="Arial" w:hAnsi="Arial" w:cs="Arial"/>
          <w:sz w:val="24"/>
          <w:szCs w:val="24"/>
        </w:rPr>
        <w:t>Roman</w:t>
      </w:r>
      <w:r w:rsidRPr="0075553B">
        <w:rPr>
          <w:rFonts w:ascii="Arial" w:hAnsi="Arial" w:cs="Arial"/>
          <w:sz w:val="24"/>
          <w:szCs w:val="24"/>
        </w:rPr>
        <w:t xml:space="preserve"> law?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and analyse the application it has in </w:t>
      </w:r>
      <w:r w:rsidR="00B258BF" w:rsidRPr="0075553B">
        <w:rPr>
          <w:rFonts w:ascii="Arial" w:hAnsi="Arial" w:cs="Arial"/>
          <w:sz w:val="24"/>
          <w:szCs w:val="24"/>
        </w:rPr>
        <w:t>SA</w:t>
      </w:r>
      <w:r w:rsidRPr="0075553B">
        <w:rPr>
          <w:rFonts w:ascii="Arial" w:hAnsi="Arial" w:cs="Arial"/>
          <w:sz w:val="24"/>
          <w:szCs w:val="24"/>
        </w:rPr>
        <w:t xml:space="preserve"> law?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Name the 3 requirements?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Briefly discuss the importance of the decision in baker case?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</w:p>
    <w:p w:rsidR="00E40D8B" w:rsidRPr="0075553B" w:rsidRDefault="00E40D8B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7: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Distinguish between the application of condictio sine causa generalis and specialis in </w:t>
      </w:r>
      <w:r w:rsidR="00B258BF" w:rsidRPr="0075553B">
        <w:rPr>
          <w:rFonts w:ascii="Arial" w:hAnsi="Arial" w:cs="Arial"/>
          <w:sz w:val="24"/>
          <w:szCs w:val="24"/>
        </w:rPr>
        <w:t>Roman</w:t>
      </w:r>
      <w:r w:rsidRPr="0075553B">
        <w:rPr>
          <w:rFonts w:ascii="Arial" w:hAnsi="Arial" w:cs="Arial"/>
          <w:sz w:val="24"/>
          <w:szCs w:val="24"/>
        </w:rPr>
        <w:t xml:space="preserve"> law?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distinction between the application of indebiti and specialis in the govender case?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with reference to case law the difference between the bona fide </w:t>
      </w:r>
      <w:r w:rsidR="00B258BF" w:rsidRPr="0075553B">
        <w:rPr>
          <w:rFonts w:ascii="Arial" w:hAnsi="Arial" w:cs="Arial"/>
          <w:sz w:val="24"/>
          <w:szCs w:val="24"/>
        </w:rPr>
        <w:t>possessor</w:t>
      </w:r>
      <w:r w:rsidRPr="0075553B">
        <w:rPr>
          <w:rFonts w:ascii="Arial" w:hAnsi="Arial" w:cs="Arial"/>
          <w:sz w:val="24"/>
          <w:szCs w:val="24"/>
        </w:rPr>
        <w:t xml:space="preserve"> who received a thing ex causa onerosa and ex cause lucrative?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</w:p>
    <w:p w:rsidR="00E40D8B" w:rsidRPr="0075553B" w:rsidRDefault="00E40D8B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40D8B" w:rsidRPr="0075553B" w:rsidRDefault="00E40D8B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lastRenderedPageBreak/>
        <w:t>Question 8: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the requirements for action negotiorum gestorum in </w:t>
      </w:r>
      <w:r w:rsidR="00B258BF" w:rsidRPr="0075553B">
        <w:rPr>
          <w:rFonts w:ascii="Arial" w:hAnsi="Arial" w:cs="Arial"/>
          <w:sz w:val="24"/>
          <w:szCs w:val="24"/>
        </w:rPr>
        <w:t>SA</w:t>
      </w:r>
      <w:r w:rsidRPr="0075553B">
        <w:rPr>
          <w:rFonts w:ascii="Arial" w:hAnsi="Arial" w:cs="Arial"/>
          <w:sz w:val="24"/>
          <w:szCs w:val="24"/>
        </w:rPr>
        <w:t xml:space="preserve"> law and discuss the rights and duties?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with reference to case law the 4 instances where extended action negotiorum find application?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odendaal case in reference to someone else’s debt?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importance of the stander case?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What is the true </w:t>
      </w:r>
      <w:r w:rsidR="00B258BF" w:rsidRPr="0075553B">
        <w:rPr>
          <w:rFonts w:ascii="Arial" w:hAnsi="Arial" w:cs="Arial"/>
          <w:sz w:val="24"/>
          <w:szCs w:val="24"/>
        </w:rPr>
        <w:t>nature</w:t>
      </w:r>
      <w:r w:rsidRPr="0075553B">
        <w:rPr>
          <w:rFonts w:ascii="Arial" w:hAnsi="Arial" w:cs="Arial"/>
          <w:sz w:val="24"/>
          <w:szCs w:val="24"/>
        </w:rPr>
        <w:t xml:space="preserve"> of the claim of bona fide possessors and occupiers for improvements to the property of others?</w:t>
      </w:r>
    </w:p>
    <w:p w:rsidR="00E40D8B" w:rsidRPr="0075553B" w:rsidRDefault="00E40D8B" w:rsidP="0075553B">
      <w:pPr>
        <w:jc w:val="both"/>
        <w:rPr>
          <w:rFonts w:ascii="Arial" w:hAnsi="Arial" w:cs="Arial"/>
          <w:sz w:val="24"/>
          <w:szCs w:val="24"/>
        </w:rPr>
      </w:pPr>
    </w:p>
    <w:p w:rsidR="00E40D8B" w:rsidRPr="0075553B" w:rsidRDefault="00E40D8B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9:</w:t>
      </w:r>
    </w:p>
    <w:p w:rsidR="00E40D8B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Briefly discuss the position of a bona fide and mala fide possessor and attachment in </w:t>
      </w:r>
      <w:r w:rsidR="00B258BF" w:rsidRPr="0075553B">
        <w:rPr>
          <w:rFonts w:ascii="Arial" w:hAnsi="Arial" w:cs="Arial"/>
          <w:sz w:val="24"/>
          <w:szCs w:val="24"/>
        </w:rPr>
        <w:t>Roman</w:t>
      </w:r>
      <w:r w:rsidRPr="0075553B">
        <w:rPr>
          <w:rFonts w:ascii="Arial" w:hAnsi="Arial" w:cs="Arial"/>
          <w:sz w:val="24"/>
          <w:szCs w:val="24"/>
        </w:rPr>
        <w:t xml:space="preserve"> law?</w:t>
      </w:r>
    </w:p>
    <w:p w:rsidR="00311354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Explain the application of placaats in </w:t>
      </w:r>
      <w:r w:rsidR="00B258BF" w:rsidRPr="0075553B">
        <w:rPr>
          <w:rFonts w:ascii="Arial" w:hAnsi="Arial" w:cs="Arial"/>
          <w:sz w:val="24"/>
          <w:szCs w:val="24"/>
        </w:rPr>
        <w:t>Roman</w:t>
      </w:r>
      <w:r w:rsidRPr="0075553B">
        <w:rPr>
          <w:rFonts w:ascii="Arial" w:hAnsi="Arial" w:cs="Arial"/>
          <w:sz w:val="24"/>
          <w:szCs w:val="24"/>
        </w:rPr>
        <w:t xml:space="preserve"> law?</w:t>
      </w:r>
    </w:p>
    <w:p w:rsidR="00311354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in detail with reference to case law the opinion of writers the remedies available to mala fide possessors in </w:t>
      </w:r>
      <w:r w:rsidR="00B258BF" w:rsidRPr="0075553B">
        <w:rPr>
          <w:rFonts w:ascii="Arial" w:hAnsi="Arial" w:cs="Arial"/>
          <w:sz w:val="24"/>
          <w:szCs w:val="24"/>
        </w:rPr>
        <w:t>SA</w:t>
      </w:r>
      <w:r w:rsidRPr="0075553B">
        <w:rPr>
          <w:rFonts w:ascii="Arial" w:hAnsi="Arial" w:cs="Arial"/>
          <w:sz w:val="24"/>
          <w:szCs w:val="24"/>
        </w:rPr>
        <w:t xml:space="preserve"> law?</w:t>
      </w:r>
    </w:p>
    <w:p w:rsidR="00311354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Distinguish between three types of occupiers and holders?</w:t>
      </w:r>
    </w:p>
    <w:p w:rsidR="00311354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position of the occupier or holder in the case of cloete?</w:t>
      </w:r>
    </w:p>
    <w:p w:rsidR="00311354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</w:p>
    <w:p w:rsidR="00311354" w:rsidRPr="0075553B" w:rsidRDefault="00311354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10:</w:t>
      </w:r>
    </w:p>
    <w:p w:rsidR="00311354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Distinguish between 2 types of rights of retention by defining them and their requirements?</w:t>
      </w:r>
    </w:p>
    <w:p w:rsidR="00311354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Distinguish between the right of retention and the right to institute a claim on enrichment?</w:t>
      </w:r>
    </w:p>
    <w:p w:rsidR="00311354" w:rsidRPr="0075553B" w:rsidRDefault="00311354" w:rsidP="0075553B">
      <w:pPr>
        <w:jc w:val="both"/>
        <w:rPr>
          <w:rFonts w:ascii="Arial" w:hAnsi="Arial" w:cs="Arial"/>
          <w:sz w:val="24"/>
          <w:szCs w:val="24"/>
        </w:rPr>
      </w:pPr>
    </w:p>
    <w:p w:rsidR="00ED13F5" w:rsidRPr="0075553B" w:rsidRDefault="00ED13F5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11:</w:t>
      </w:r>
    </w:p>
    <w:p w:rsidR="00ED13F5" w:rsidRPr="0075553B" w:rsidRDefault="00ED13F5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application of enrichment liability against a minor in common law?</w:t>
      </w:r>
    </w:p>
    <w:p w:rsidR="00ED13F5" w:rsidRPr="0075553B" w:rsidRDefault="00ED13F5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extent of enrichment liability against a minor?</w:t>
      </w:r>
    </w:p>
    <w:p w:rsidR="00ED13F5" w:rsidRPr="0075553B" w:rsidRDefault="00ED13F5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What is the position if a minor </w:t>
      </w:r>
      <w:r w:rsidR="00B258BF" w:rsidRPr="0075553B">
        <w:rPr>
          <w:rFonts w:ascii="Arial" w:hAnsi="Arial" w:cs="Arial"/>
          <w:sz w:val="24"/>
          <w:szCs w:val="24"/>
        </w:rPr>
        <w:t>rescinds</w:t>
      </w:r>
      <w:r w:rsidRPr="0075553B">
        <w:rPr>
          <w:rFonts w:ascii="Arial" w:hAnsi="Arial" w:cs="Arial"/>
          <w:sz w:val="24"/>
          <w:szCs w:val="24"/>
        </w:rPr>
        <w:t xml:space="preserve"> the voidable contract?</w:t>
      </w:r>
    </w:p>
    <w:p w:rsidR="00ED13F5" w:rsidRPr="0075553B" w:rsidRDefault="00ED13F5" w:rsidP="0075553B">
      <w:pPr>
        <w:jc w:val="both"/>
        <w:rPr>
          <w:rFonts w:ascii="Arial" w:hAnsi="Arial" w:cs="Arial"/>
          <w:sz w:val="24"/>
          <w:szCs w:val="24"/>
        </w:rPr>
      </w:pPr>
    </w:p>
    <w:p w:rsidR="00ED13F5" w:rsidRPr="0075553B" w:rsidRDefault="00ED13F5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D13F5" w:rsidRPr="0075553B" w:rsidRDefault="00ED13F5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12:</w:t>
      </w:r>
    </w:p>
    <w:p w:rsidR="00ED13F5" w:rsidRPr="0075553B" w:rsidRDefault="00ED13F5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Distinguish between location conduction operis and location conduction </w:t>
      </w:r>
      <w:r w:rsidR="00B258BF" w:rsidRPr="0075553B">
        <w:rPr>
          <w:rFonts w:ascii="Arial" w:hAnsi="Arial" w:cs="Arial"/>
          <w:sz w:val="24"/>
          <w:szCs w:val="24"/>
        </w:rPr>
        <w:t>operarum?</w:t>
      </w:r>
    </w:p>
    <w:p w:rsidR="00ED13F5" w:rsidRPr="0075553B" w:rsidRDefault="00ED13F5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 xml:space="preserve">Discuss with reference to case law the basis for the enrichment claim of the </w:t>
      </w:r>
      <w:r w:rsidR="00B258BF" w:rsidRPr="0075553B">
        <w:rPr>
          <w:rFonts w:ascii="Arial" w:hAnsi="Arial" w:cs="Arial"/>
          <w:sz w:val="24"/>
          <w:szCs w:val="24"/>
        </w:rPr>
        <w:t>workman’s</w:t>
      </w:r>
      <w:r w:rsidRPr="0075553B">
        <w:rPr>
          <w:rFonts w:ascii="Arial" w:hAnsi="Arial" w:cs="Arial"/>
          <w:sz w:val="24"/>
          <w:szCs w:val="24"/>
        </w:rPr>
        <w:t xml:space="preserve"> performance was defective?</w:t>
      </w:r>
    </w:p>
    <w:p w:rsidR="00ED13F5" w:rsidRPr="0075553B" w:rsidRDefault="00ED13F5" w:rsidP="0075553B">
      <w:pPr>
        <w:jc w:val="both"/>
        <w:rPr>
          <w:rFonts w:ascii="Arial" w:hAnsi="Arial" w:cs="Arial"/>
          <w:sz w:val="24"/>
          <w:szCs w:val="24"/>
        </w:rPr>
      </w:pPr>
    </w:p>
    <w:p w:rsidR="00B258BF" w:rsidRPr="0075553B" w:rsidRDefault="00B258BF" w:rsidP="0075553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5553B">
        <w:rPr>
          <w:rFonts w:ascii="Arial" w:hAnsi="Arial" w:cs="Arial"/>
          <w:b/>
          <w:sz w:val="24"/>
          <w:szCs w:val="24"/>
          <w:u w:val="single"/>
        </w:rPr>
        <w:t>Question 13:</w:t>
      </w:r>
    </w:p>
    <w:p w:rsidR="00B258BF" w:rsidRPr="0075553B" w:rsidRDefault="00B258B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Critically discuss the majority and minority decisions in Nortjie with reference to the existence of a general enrichment action in SA law?</w:t>
      </w:r>
    </w:p>
    <w:p w:rsidR="00B258BF" w:rsidRPr="0075553B" w:rsidRDefault="00B258B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effect of the 2 recent decisions, Perry and Kudu granite on the acknowledgement of general enrichment action in SA?</w:t>
      </w:r>
    </w:p>
    <w:p w:rsidR="00B258BF" w:rsidRPr="0075553B" w:rsidRDefault="00B258BF" w:rsidP="0075553B">
      <w:pPr>
        <w:jc w:val="both"/>
        <w:rPr>
          <w:rFonts w:ascii="Arial" w:hAnsi="Arial" w:cs="Arial"/>
          <w:sz w:val="24"/>
          <w:szCs w:val="24"/>
        </w:rPr>
      </w:pPr>
      <w:r w:rsidRPr="0075553B">
        <w:rPr>
          <w:rFonts w:ascii="Arial" w:hAnsi="Arial" w:cs="Arial"/>
          <w:sz w:val="24"/>
          <w:szCs w:val="24"/>
        </w:rPr>
        <w:t>Discuss the manner in which general enrichment action may find application in SA?</w:t>
      </w:r>
    </w:p>
    <w:p w:rsidR="00B258BF" w:rsidRPr="0075553B" w:rsidRDefault="00B258BF" w:rsidP="0075553B">
      <w:pPr>
        <w:jc w:val="both"/>
        <w:rPr>
          <w:rFonts w:ascii="Arial" w:hAnsi="Arial" w:cs="Arial"/>
          <w:sz w:val="24"/>
          <w:szCs w:val="24"/>
        </w:rPr>
      </w:pPr>
    </w:p>
    <w:sectPr w:rsidR="00B258BF" w:rsidRPr="0075553B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EC6" w:rsidRDefault="00171EC6" w:rsidP="00D65CCD">
      <w:pPr>
        <w:spacing w:after="0" w:line="240" w:lineRule="auto"/>
      </w:pPr>
      <w:r>
        <w:separator/>
      </w:r>
    </w:p>
  </w:endnote>
  <w:endnote w:type="continuationSeparator" w:id="0">
    <w:p w:rsidR="00171EC6" w:rsidRDefault="00171EC6" w:rsidP="00D65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58584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5553B" w:rsidRDefault="007555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5553B" w:rsidRDefault="007555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EC6" w:rsidRDefault="00171EC6" w:rsidP="00D65CCD">
      <w:pPr>
        <w:spacing w:after="0" w:line="240" w:lineRule="auto"/>
      </w:pPr>
      <w:r>
        <w:separator/>
      </w:r>
    </w:p>
  </w:footnote>
  <w:footnote w:type="continuationSeparator" w:id="0">
    <w:p w:rsidR="00171EC6" w:rsidRDefault="00171EC6" w:rsidP="00D65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CCD" w:rsidRDefault="00D65CCD">
    <w:pPr>
      <w:pStyle w:val="Header"/>
    </w:pPr>
    <w:r>
      <w:t>UNJUSTIFIED ENRICHMENT</w:t>
    </w:r>
  </w:p>
  <w:p w:rsidR="00D65CCD" w:rsidRDefault="00D65CCD">
    <w:pPr>
      <w:pStyle w:val="Header"/>
    </w:pPr>
    <w:r>
      <w:t>QUESTIONS</w:t>
    </w:r>
  </w:p>
  <w:p w:rsidR="00D65CCD" w:rsidRDefault="00D65C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CCD"/>
    <w:rsid w:val="00026903"/>
    <w:rsid w:val="00171EC6"/>
    <w:rsid w:val="002A584F"/>
    <w:rsid w:val="00311354"/>
    <w:rsid w:val="0036592D"/>
    <w:rsid w:val="0075553B"/>
    <w:rsid w:val="007F6726"/>
    <w:rsid w:val="00830584"/>
    <w:rsid w:val="00B258BF"/>
    <w:rsid w:val="00D65CCD"/>
    <w:rsid w:val="00E40D8B"/>
    <w:rsid w:val="00ED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5C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CCD"/>
  </w:style>
  <w:style w:type="paragraph" w:styleId="Footer">
    <w:name w:val="footer"/>
    <w:basedOn w:val="Normal"/>
    <w:link w:val="FooterChar"/>
    <w:uiPriority w:val="99"/>
    <w:unhideWhenUsed/>
    <w:rsid w:val="00D65C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5CCD"/>
  </w:style>
  <w:style w:type="paragraph" w:styleId="BalloonText">
    <w:name w:val="Balloon Text"/>
    <w:basedOn w:val="Normal"/>
    <w:link w:val="BalloonTextChar"/>
    <w:uiPriority w:val="99"/>
    <w:semiHidden/>
    <w:unhideWhenUsed/>
    <w:rsid w:val="00D65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C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5C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CCD"/>
  </w:style>
  <w:style w:type="paragraph" w:styleId="Footer">
    <w:name w:val="footer"/>
    <w:basedOn w:val="Normal"/>
    <w:link w:val="FooterChar"/>
    <w:uiPriority w:val="99"/>
    <w:unhideWhenUsed/>
    <w:rsid w:val="00D65C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5CCD"/>
  </w:style>
  <w:style w:type="paragraph" w:styleId="BalloonText">
    <w:name w:val="Balloon Text"/>
    <w:basedOn w:val="Normal"/>
    <w:link w:val="BalloonTextChar"/>
    <w:uiPriority w:val="99"/>
    <w:semiHidden/>
    <w:unhideWhenUsed/>
    <w:rsid w:val="00D65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Shaz</dc:creator>
  <cp:lastModifiedBy>Shaz</cp:lastModifiedBy>
  <cp:revision>3</cp:revision>
  <cp:lastPrinted>2012-09-17T08:41:00Z</cp:lastPrinted>
  <dcterms:created xsi:type="dcterms:W3CDTF">2012-09-17T07:06:00Z</dcterms:created>
  <dcterms:modified xsi:type="dcterms:W3CDTF">2012-09-17T08:41:00Z</dcterms:modified>
</cp:coreProperties>
</file>