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F25" w:rsidRDefault="00483F25" w:rsidP="00483F25">
      <w:r>
        <w:t>LML408A: ASSIGNMENT 01 (Second Semester), 2012: MEMORANDUM</w:t>
      </w:r>
    </w:p>
    <w:p w:rsidR="00483F25" w:rsidRDefault="00483F25" w:rsidP="00483F25">
      <w:r>
        <w:t xml:space="preserve">(1) The buyer to an international sale of goods bears the risk and burden of any new or additional duty which becomes payable on the goods sold after the conclusion of the contract and before their delivery (see s 59(1) of the Customs and Excise Act 91 of 1964). Thus, the seller, having paid the new or additional duty, may recover the amount of such duty from the buyer in addition to the price agreed upon for the goods. Conversely, the buyer receives the benefit of any duty either abolished or decreased after the conclusion of the contract and before delivery (s 59(2)). These statutory measures merely confirm the common-law rule relating to the passing of risk. However, the parties to the contract of sale may agree otherwise. [See JP van </w:t>
      </w:r>
      <w:proofErr w:type="spellStart"/>
      <w:r>
        <w:t>Niekerk</w:t>
      </w:r>
      <w:proofErr w:type="spellEnd"/>
      <w:r>
        <w:t xml:space="preserve"> &amp; WG Schulze </w:t>
      </w:r>
      <w:proofErr w:type="gramStart"/>
      <w:r>
        <w:t>The</w:t>
      </w:r>
      <w:proofErr w:type="gramEnd"/>
      <w:r>
        <w:t xml:space="preserve"> South African Law of International Trade: Selected Topics 3rd </w:t>
      </w:r>
      <w:proofErr w:type="spellStart"/>
      <w:r>
        <w:t>ed</w:t>
      </w:r>
      <w:proofErr w:type="spellEnd"/>
      <w:r>
        <w:t xml:space="preserve"> (2011) (‘Van </w:t>
      </w:r>
      <w:proofErr w:type="spellStart"/>
      <w:r>
        <w:t>Niekerk</w:t>
      </w:r>
      <w:proofErr w:type="spellEnd"/>
      <w:r>
        <w:t xml:space="preserve"> &amp; Schulze’) at 14 and 82.]</w:t>
      </w:r>
    </w:p>
    <w:p w:rsidR="00483F25" w:rsidRDefault="00483F25" w:rsidP="00483F25"/>
    <w:p w:rsidR="00483F25" w:rsidRDefault="00483F25" w:rsidP="00483F25">
      <w:r>
        <w:t xml:space="preserve"> </w:t>
      </w:r>
      <w:r>
        <w:t>(2) There is no limitation of carrier liability under the Hague-Visby Rules where:</w:t>
      </w:r>
    </w:p>
    <w:p w:rsidR="00483F25" w:rsidRDefault="00483F25" w:rsidP="00483F25">
      <w:r>
        <w:t xml:space="preserve">(a) </w:t>
      </w:r>
      <w:proofErr w:type="gramStart"/>
      <w:r>
        <w:t>the</w:t>
      </w:r>
      <w:proofErr w:type="gramEnd"/>
      <w:r>
        <w:t xml:space="preserve"> nature and value of goods were expressly declared by the shipper before shipment and inserted on the bill of lading;</w:t>
      </w:r>
    </w:p>
    <w:p w:rsidR="00483F25" w:rsidRDefault="00483F25" w:rsidP="00483F25">
      <w:r>
        <w:t xml:space="preserve">(b) </w:t>
      </w:r>
      <w:proofErr w:type="gramStart"/>
      <w:r>
        <w:t>there</w:t>
      </w:r>
      <w:proofErr w:type="gramEnd"/>
      <w:r>
        <w:t xml:space="preserve"> is an agreement between the shipper and the carrier on a lower limit of (</w:t>
      </w:r>
      <w:proofErr w:type="spellStart"/>
      <w:r>
        <w:t>ie</w:t>
      </w:r>
      <w:proofErr w:type="spellEnd"/>
      <w:r>
        <w:t>, greater amount of) liability for the latter; or</w:t>
      </w:r>
    </w:p>
    <w:p w:rsidR="00483F25" w:rsidRDefault="00483F25" w:rsidP="00483F25">
      <w:r>
        <w:t xml:space="preserve">(c) </w:t>
      </w:r>
      <w:proofErr w:type="gramStart"/>
      <w:r>
        <w:t>loss</w:t>
      </w:r>
      <w:proofErr w:type="gramEnd"/>
      <w:r>
        <w:t xml:space="preserve"> or damage was caused by the recklessness or intent (not mere negligence) of the carrier.</w:t>
      </w:r>
    </w:p>
    <w:p w:rsidR="00483F25" w:rsidRDefault="00483F25" w:rsidP="00483F25">
      <w:r>
        <w:t>Note</w:t>
      </w:r>
      <w:proofErr w:type="gramStart"/>
      <w:r>
        <w:t>,</w:t>
      </w:r>
      <w:proofErr w:type="gramEnd"/>
      <w:r>
        <w:t xml:space="preserve"> the question is not concerned with instances where there is no liability for the carrier, but with instances where there is liability but such liability cannot be limited. [See Van </w:t>
      </w:r>
      <w:proofErr w:type="spellStart"/>
      <w:r>
        <w:t>Niekerk</w:t>
      </w:r>
      <w:proofErr w:type="spellEnd"/>
      <w:r>
        <w:t xml:space="preserve"> &amp; Schulze at 178-179.]</w:t>
      </w:r>
      <w:bookmarkStart w:id="0" w:name="_GoBack"/>
      <w:bookmarkEnd w:id="0"/>
    </w:p>
    <w:p w:rsidR="00483F25" w:rsidRDefault="00483F25" w:rsidP="00483F25">
      <w:r>
        <w:t xml:space="preserve">(3) Under-insurance occurs where the amount for which goods are insured (the sum insured) is less than the insurable value (whether agreed or otherwise) of the goods. Thus, if goods actually worth R100, or with an agreed value of R100, are insured for R80, they are under-insured. Under-valuation occurs where the agreed value of goods is less than their actual value. Thus, if goods actually worth R120 are agreed to be worth R100 for purposes of the insurance, there is an under-valuation. Under-insurance and under-valuation may, or may not, occur at the same time. [See Van </w:t>
      </w:r>
      <w:proofErr w:type="spellStart"/>
      <w:r>
        <w:t>Niekerk</w:t>
      </w:r>
      <w:proofErr w:type="spellEnd"/>
      <w:r>
        <w:t xml:space="preserve"> &amp; Schulze at 236-237.]</w:t>
      </w:r>
    </w:p>
    <w:p w:rsidR="00B34140" w:rsidRDefault="00483F25" w:rsidP="00483F25">
      <w:r>
        <w:t>(4) The letter of credit contract underlying the relationship between an importer (</w:t>
      </w:r>
      <w:proofErr w:type="spellStart"/>
      <w:r>
        <w:t>ie</w:t>
      </w:r>
      <w:proofErr w:type="spellEnd"/>
      <w:r>
        <w:t xml:space="preserve">, the buyer, or applicant for the letter of credit) and an issuing bank is a contract of mandate. [See Van </w:t>
      </w:r>
      <w:proofErr w:type="spellStart"/>
      <w:r>
        <w:t>Niekerk</w:t>
      </w:r>
      <w:proofErr w:type="spellEnd"/>
      <w:r>
        <w:t xml:space="preserve"> &amp; Schulze at 266 and 282-284.]</w:t>
      </w:r>
    </w:p>
    <w:sectPr w:rsidR="00B341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F25"/>
    <w:rsid w:val="00483F25"/>
    <w:rsid w:val="00B3414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Linky Mamoepa</dc:creator>
  <cp:lastModifiedBy>Linky Mamoepa</cp:lastModifiedBy>
  <cp:revision>1</cp:revision>
  <dcterms:created xsi:type="dcterms:W3CDTF">2012-09-11T21:02:00Z</dcterms:created>
  <dcterms:modified xsi:type="dcterms:W3CDTF">2012-09-11T21:03:00Z</dcterms:modified>
</cp:coreProperties>
</file>