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59E4" w:rsidRDefault="00244FAB" w:rsidP="00244FAB">
      <w:pPr>
        <w:jc w:val="center"/>
        <w:rPr>
          <w:rFonts w:ascii="Comic_Sans_MS_Bold" w:hAnsi="Comic_Sans_MS_Bold" w:cs="Comic_Sans_MS_Bold"/>
          <w:b/>
          <w:bCs/>
          <w:sz w:val="64"/>
          <w:szCs w:val="64"/>
        </w:rPr>
      </w:pPr>
      <w:r>
        <w:rPr>
          <w:rFonts w:ascii="Comic_Sans_MS_Bold" w:hAnsi="Comic_Sans_MS_Bold" w:cs="Comic_Sans_MS_Bold"/>
          <w:b/>
          <w:bCs/>
          <w:sz w:val="64"/>
          <w:szCs w:val="64"/>
        </w:rPr>
        <w:t>SECTION B</w:t>
      </w:r>
    </w:p>
    <w:p w:rsidR="00244FAB" w:rsidRDefault="00244FAB" w:rsidP="00244FAB">
      <w:pPr>
        <w:pStyle w:val="Title"/>
        <w:jc w:val="center"/>
      </w:pPr>
      <w:r>
        <w:t>TOPIC 2</w:t>
      </w:r>
    </w:p>
    <w:p w:rsidR="00244FAB" w:rsidRDefault="00244FAB" w:rsidP="00244FAB">
      <w:pPr>
        <w:pStyle w:val="Title"/>
        <w:jc w:val="center"/>
        <w:rPr>
          <w:sz w:val="48"/>
          <w:szCs w:val="48"/>
        </w:rPr>
      </w:pPr>
      <w:r>
        <w:rPr>
          <w:sz w:val="48"/>
          <w:szCs w:val="48"/>
        </w:rPr>
        <w:t xml:space="preserve">IMMUNITY AS AN EXCEPTION </w:t>
      </w:r>
      <w:r>
        <w:rPr>
          <w:sz w:val="48"/>
          <w:szCs w:val="48"/>
        </w:rPr>
        <w:t>TO JURISDICTION: STATE/SOVEREIGN IMMUNITY</w:t>
      </w:r>
    </w:p>
    <w:p w:rsidR="00244FAB" w:rsidRPr="002A7352" w:rsidRDefault="00244FAB" w:rsidP="002A7352">
      <w:pPr>
        <w:pStyle w:val="NoSpacing"/>
      </w:pPr>
      <w:r w:rsidRPr="002A7352">
        <w:t>ASSESSMENT</w:t>
      </w:r>
    </w:p>
    <w:p w:rsidR="00244FAB" w:rsidRPr="002A7352" w:rsidRDefault="00244FAB" w:rsidP="002A7352">
      <w:pPr>
        <w:pStyle w:val="NoSpacing"/>
      </w:pPr>
      <w:r w:rsidRPr="002A7352">
        <w:t>What you need to know/to be able to do:</w:t>
      </w:r>
    </w:p>
    <w:p w:rsidR="00244FAB" w:rsidRPr="002A7352" w:rsidRDefault="00244FAB" w:rsidP="002A7352">
      <w:pPr>
        <w:pStyle w:val="NoSpacing"/>
      </w:pPr>
      <w:r w:rsidRPr="002A7352">
        <w:t>Make sure that you study this topic in detail and do not confuse state/sovereign</w:t>
      </w:r>
    </w:p>
    <w:p w:rsidR="00244FAB" w:rsidRPr="002A7352" w:rsidRDefault="00244FAB" w:rsidP="002A7352">
      <w:pPr>
        <w:pStyle w:val="NoSpacing"/>
      </w:pPr>
      <w:proofErr w:type="gramStart"/>
      <w:r w:rsidRPr="002A7352">
        <w:t>immunity</w:t>
      </w:r>
      <w:proofErr w:type="gramEnd"/>
      <w:r w:rsidRPr="002A7352">
        <w:t xml:space="preserve"> and diplomatic/consular immunity.</w:t>
      </w:r>
    </w:p>
    <w:p w:rsidR="00244FAB" w:rsidRPr="002A7352" w:rsidRDefault="00244FAB" w:rsidP="002A7352">
      <w:pPr>
        <w:pStyle w:val="NoSpacing"/>
      </w:pPr>
      <w:r w:rsidRPr="002A7352">
        <w:t>Concepts:</w:t>
      </w:r>
    </w:p>
    <w:p w:rsidR="00244FAB" w:rsidRPr="002A7352" w:rsidRDefault="00244FAB" w:rsidP="002A7352">
      <w:pPr>
        <w:pStyle w:val="NoSpacing"/>
        <w:numPr>
          <w:ilvl w:val="0"/>
          <w:numId w:val="1"/>
        </w:numPr>
      </w:pPr>
      <w:r w:rsidRPr="002A7352">
        <w:t>absolute immunity</w:t>
      </w:r>
    </w:p>
    <w:p w:rsidR="00244FAB" w:rsidRPr="002A7352" w:rsidRDefault="00244FAB" w:rsidP="002A7352">
      <w:pPr>
        <w:pStyle w:val="NoSpacing"/>
        <w:numPr>
          <w:ilvl w:val="0"/>
          <w:numId w:val="1"/>
        </w:numPr>
      </w:pPr>
      <w:r w:rsidRPr="002A7352">
        <w:t>restricted immunity</w:t>
      </w:r>
    </w:p>
    <w:p w:rsidR="00244FAB" w:rsidRPr="002A7352" w:rsidRDefault="00244FAB" w:rsidP="002A7352">
      <w:pPr>
        <w:pStyle w:val="NoSpacing"/>
        <w:numPr>
          <w:ilvl w:val="0"/>
          <w:numId w:val="1"/>
        </w:numPr>
      </w:pPr>
      <w:r w:rsidRPr="002A7352">
        <w:t>sovereign immunity</w:t>
      </w:r>
    </w:p>
    <w:p w:rsidR="00244FAB" w:rsidRPr="002A7352" w:rsidRDefault="00244FAB" w:rsidP="002A7352">
      <w:pPr>
        <w:pStyle w:val="NoSpacing"/>
        <w:numPr>
          <w:ilvl w:val="0"/>
          <w:numId w:val="1"/>
        </w:numPr>
      </w:pPr>
      <w:proofErr w:type="spellStart"/>
      <w:r w:rsidRPr="002A7352">
        <w:t>actus</w:t>
      </w:r>
      <w:proofErr w:type="spellEnd"/>
      <w:r w:rsidRPr="002A7352">
        <w:t xml:space="preserve"> </w:t>
      </w:r>
      <w:proofErr w:type="spellStart"/>
      <w:r w:rsidRPr="002A7352">
        <w:t>iuris</w:t>
      </w:r>
      <w:proofErr w:type="spellEnd"/>
      <w:r w:rsidRPr="002A7352">
        <w:t xml:space="preserve"> </w:t>
      </w:r>
      <w:proofErr w:type="spellStart"/>
      <w:r w:rsidRPr="002A7352">
        <w:t>gestionis</w:t>
      </w:r>
      <w:proofErr w:type="spellEnd"/>
    </w:p>
    <w:p w:rsidR="00244FAB" w:rsidRPr="002A7352" w:rsidRDefault="00244FAB" w:rsidP="002A7352">
      <w:pPr>
        <w:pStyle w:val="NoSpacing"/>
        <w:numPr>
          <w:ilvl w:val="0"/>
          <w:numId w:val="1"/>
        </w:numPr>
      </w:pPr>
      <w:proofErr w:type="spellStart"/>
      <w:r w:rsidRPr="002A7352">
        <w:t>actus</w:t>
      </w:r>
      <w:proofErr w:type="spellEnd"/>
      <w:r w:rsidRPr="002A7352">
        <w:t xml:space="preserve"> </w:t>
      </w:r>
      <w:proofErr w:type="spellStart"/>
      <w:r w:rsidRPr="002A7352">
        <w:t>iure</w:t>
      </w:r>
      <w:proofErr w:type="spellEnd"/>
      <w:r w:rsidRPr="002A7352">
        <w:t xml:space="preserve"> </w:t>
      </w:r>
      <w:proofErr w:type="spellStart"/>
      <w:r w:rsidRPr="002A7352">
        <w:t>imperii</w:t>
      </w:r>
      <w:proofErr w:type="spellEnd"/>
    </w:p>
    <w:p w:rsidR="00244FAB" w:rsidRPr="002A7352" w:rsidRDefault="00244FAB" w:rsidP="002A7352">
      <w:pPr>
        <w:pStyle w:val="NoSpacing"/>
        <w:numPr>
          <w:ilvl w:val="0"/>
          <w:numId w:val="1"/>
        </w:numPr>
      </w:pPr>
      <w:r w:rsidRPr="002A7352">
        <w:t>diplomatic immunity</w:t>
      </w:r>
    </w:p>
    <w:p w:rsidR="00244FAB" w:rsidRPr="002A7352" w:rsidRDefault="00244FAB" w:rsidP="002A7352">
      <w:pPr>
        <w:pStyle w:val="NoSpacing"/>
        <w:numPr>
          <w:ilvl w:val="0"/>
          <w:numId w:val="1"/>
        </w:numPr>
      </w:pPr>
      <w:r w:rsidRPr="002A7352">
        <w:t>head of state immunity</w:t>
      </w:r>
    </w:p>
    <w:p w:rsidR="002A7352" w:rsidRPr="002A7352" w:rsidRDefault="00244FAB" w:rsidP="002A7352">
      <w:pPr>
        <w:pStyle w:val="NoSpacing"/>
        <w:numPr>
          <w:ilvl w:val="0"/>
          <w:numId w:val="1"/>
        </w:numPr>
      </w:pPr>
      <w:r w:rsidRPr="002A7352">
        <w:t>Vienna Conventions – be able to apply the provisions</w:t>
      </w:r>
    </w:p>
    <w:p w:rsidR="002A7352" w:rsidRDefault="002A7352" w:rsidP="002A7352">
      <w:pPr>
        <w:pStyle w:val="NoSpacing"/>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2A7352" w:rsidRDefault="002A7352" w:rsidP="002A7352">
      <w:pPr>
        <w:autoSpaceDE w:val="0"/>
        <w:autoSpaceDN w:val="0"/>
        <w:adjustRightInd w:val="0"/>
        <w:spacing w:after="0" w:line="240" w:lineRule="auto"/>
        <w:rPr>
          <w:rFonts w:cs="Comic_Sans_MS"/>
          <w:i/>
        </w:rPr>
      </w:pPr>
      <w:r w:rsidRPr="002A7352">
        <w:rPr>
          <w:rFonts w:cs="Comic_Sans_MS"/>
          <w:i/>
        </w:rPr>
        <w:t xml:space="preserve">In </w:t>
      </w:r>
      <w:proofErr w:type="spellStart"/>
      <w:r w:rsidRPr="002A7352">
        <w:rPr>
          <w:rFonts w:cs="Comic_Sans_MS"/>
          <w:i/>
        </w:rPr>
        <w:t>Liebowitz</w:t>
      </w:r>
      <w:proofErr w:type="spellEnd"/>
      <w:r w:rsidRPr="002A7352">
        <w:rPr>
          <w:rFonts w:cs="Comic_Sans_MS"/>
          <w:i/>
        </w:rPr>
        <w:t xml:space="preserve"> v Schwartz 1974 2 SA 661 (T), the</w:t>
      </w:r>
      <w:r>
        <w:rPr>
          <w:rFonts w:cs="Comic_Sans_MS"/>
          <w:i/>
        </w:rPr>
        <w:t xml:space="preserve"> court </w:t>
      </w:r>
      <w:proofErr w:type="spellStart"/>
      <w:r>
        <w:rPr>
          <w:rFonts w:cs="Comic_Sans_MS"/>
          <w:i/>
        </w:rPr>
        <w:t>recognised</w:t>
      </w:r>
      <w:proofErr w:type="spellEnd"/>
      <w:r>
        <w:rPr>
          <w:rFonts w:cs="Comic_Sans_MS"/>
          <w:i/>
        </w:rPr>
        <w:t xml:space="preserve"> two bases for </w:t>
      </w:r>
      <w:r w:rsidRPr="002A7352">
        <w:rPr>
          <w:rFonts w:cs="Comic_Sans_MS"/>
          <w:i/>
        </w:rPr>
        <w:t xml:space="preserve">the immunity of states. </w:t>
      </w:r>
    </w:p>
    <w:p w:rsidR="002A7352" w:rsidRDefault="002A7352" w:rsidP="002A7352">
      <w:pPr>
        <w:autoSpaceDE w:val="0"/>
        <w:autoSpaceDN w:val="0"/>
        <w:adjustRightInd w:val="0"/>
        <w:spacing w:after="0" w:line="240" w:lineRule="auto"/>
        <w:rPr>
          <w:rFonts w:ascii="Comic_Sans_MS" w:hAnsi="Comic_Sans_MS" w:cs="Comic_Sans_MS"/>
        </w:rPr>
      </w:pPr>
      <w:r w:rsidRPr="002A7352">
        <w:rPr>
          <w:rFonts w:cs="Comic_Sans_MS"/>
          <w:i/>
        </w:rPr>
        <w:t>Discuss these in detail</w:t>
      </w:r>
      <w:r>
        <w:rPr>
          <w:rFonts w:ascii="Comic_Sans_MS" w:hAnsi="Comic_Sans_MS" w:cs="Comic_Sans_MS"/>
        </w:rPr>
        <w:t>.</w:t>
      </w:r>
    </w:p>
    <w:p w:rsidR="002A7352" w:rsidRDefault="002A7352" w:rsidP="002A7352">
      <w:pPr>
        <w:autoSpaceDE w:val="0"/>
        <w:autoSpaceDN w:val="0"/>
        <w:adjustRightInd w:val="0"/>
        <w:spacing w:after="0" w:line="240" w:lineRule="auto"/>
        <w:rPr>
          <w:rFonts w:ascii="Comic_Sans_MS" w:hAnsi="Comic_Sans_MS" w:cs="Comic_Sans_MS"/>
        </w:rPr>
      </w:pPr>
    </w:p>
    <w:p w:rsidR="002A7352" w:rsidRDefault="002A7352" w:rsidP="002A7352">
      <w:pPr>
        <w:pStyle w:val="NoSpacing"/>
      </w:pPr>
      <w:r>
        <w:t xml:space="preserve">In </w:t>
      </w:r>
      <w:proofErr w:type="spellStart"/>
      <w:r>
        <w:rPr>
          <w:i/>
          <w:iCs/>
        </w:rPr>
        <w:t>Liebowitz</w:t>
      </w:r>
      <w:proofErr w:type="spellEnd"/>
      <w:r>
        <w:rPr>
          <w:i/>
          <w:iCs/>
        </w:rPr>
        <w:t xml:space="preserve"> v Schwartz </w:t>
      </w:r>
      <w:r>
        <w:t xml:space="preserve">the court </w:t>
      </w:r>
      <w:proofErr w:type="spellStart"/>
      <w:r>
        <w:t>recognised</w:t>
      </w:r>
      <w:proofErr w:type="spellEnd"/>
      <w:r>
        <w:t xml:space="preserve"> that it is a principle of public international law that the courts of a country will not, by their process, make a foreign state a party to legal proceedings against its will, and that such immunity has been admitted in all </w:t>
      </w:r>
      <w:proofErr w:type="spellStart"/>
      <w:r>
        <w:t>civilised</w:t>
      </w:r>
      <w:proofErr w:type="spellEnd"/>
      <w:r>
        <w:t xml:space="preserve"> countries. The court remarked that this principle was founded on “grave and weighty considerations of public policy, international law and comity”. </w:t>
      </w:r>
    </w:p>
    <w:p w:rsidR="002A7352" w:rsidRDefault="002A7352" w:rsidP="002A7352">
      <w:pPr>
        <w:pStyle w:val="NoSpacing"/>
      </w:pPr>
      <w:r>
        <w:t xml:space="preserve">Sovereign immunity has its roots in the immunity of the person of the foreign sovereign (king) from municipal courts’ jurisdiction. Later this immunity was accepted as belonging to the abstraction of the state and its organs. In other words, the acts of the head of a foreign state, its government and its government departments cannot be challenged in municipal courts. </w:t>
      </w:r>
    </w:p>
    <w:p w:rsidR="002A7352" w:rsidRDefault="002A7352" w:rsidP="002A7352">
      <w:pPr>
        <w:pStyle w:val="NoSpacing"/>
      </w:pPr>
      <w:r>
        <w:t>The first basis, or explanation, for the existence of sovereign immunity is international comity, or goodwill. International comity consists of principles that are not “hard law” – in other words, they are not legally binding. These principles are followed by states out of courtesy towards other states and out of respect for each other’s laws and interests. Thus, one state will not subject another to the jurisdiction of its own courts out of courtesy. Such courtesy is expected to be reciprocal</w:t>
      </w:r>
      <w:r>
        <w:t>.</w:t>
      </w:r>
    </w:p>
    <w:p w:rsidR="002A7352" w:rsidRPr="002A7352" w:rsidRDefault="002A7352" w:rsidP="002A7352">
      <w:pPr>
        <w:pStyle w:val="NoSpacing"/>
        <w:rPr>
          <w:rFonts w:cs="Comic_Sans_MS"/>
          <w:i/>
        </w:rPr>
      </w:pPr>
      <w:r>
        <w:rPr>
          <w:sz w:val="23"/>
          <w:szCs w:val="23"/>
        </w:rPr>
        <w:t>The second basis for sovereign immunity is the sovereign equality of states. All states are equal, and one cannot exercise authority over an equal (</w:t>
      </w:r>
      <w:r>
        <w:rPr>
          <w:i/>
          <w:iCs/>
          <w:sz w:val="23"/>
          <w:szCs w:val="23"/>
        </w:rPr>
        <w:t xml:space="preserve">“Par in </w:t>
      </w:r>
      <w:proofErr w:type="spellStart"/>
      <w:r>
        <w:rPr>
          <w:i/>
          <w:iCs/>
          <w:sz w:val="23"/>
          <w:szCs w:val="23"/>
        </w:rPr>
        <w:t>parem</w:t>
      </w:r>
      <w:proofErr w:type="spellEnd"/>
      <w:r>
        <w:rPr>
          <w:i/>
          <w:iCs/>
          <w:sz w:val="23"/>
          <w:szCs w:val="23"/>
        </w:rPr>
        <w:t xml:space="preserve"> non habit imperium”</w:t>
      </w:r>
      <w:r>
        <w:rPr>
          <w:sz w:val="23"/>
          <w:szCs w:val="23"/>
        </w:rPr>
        <w:t>). Therefore one sovereign cannot be subjected to the jurisdiction of another (at least not without the former’s consent).</w:t>
      </w:r>
    </w:p>
    <w:p w:rsidR="002A7352" w:rsidRDefault="002A7352" w:rsidP="002A7352">
      <w:pPr>
        <w:pStyle w:val="NoSpacing"/>
        <w:rPr>
          <w:rFonts w:ascii="Comic_Sans_MS" w:hAnsi="Comic_Sans_MS" w:cs="Comic_Sans_M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2A7352" w:rsidRDefault="002A7352" w:rsidP="002A7352">
      <w:pPr>
        <w:autoSpaceDE w:val="0"/>
        <w:autoSpaceDN w:val="0"/>
        <w:adjustRightInd w:val="0"/>
        <w:spacing w:after="0" w:line="240" w:lineRule="auto"/>
        <w:rPr>
          <w:rFonts w:cs="Comic_Sans_MS"/>
          <w:i/>
        </w:rPr>
      </w:pPr>
      <w:r w:rsidRPr="002A7352">
        <w:rPr>
          <w:rFonts w:cs="Comic_Sans_MS"/>
          <w:i/>
        </w:rPr>
        <w:t>Write a legal opinion, using case law, showing</w:t>
      </w:r>
      <w:r>
        <w:rPr>
          <w:rFonts w:cs="Comic_Sans_MS"/>
          <w:i/>
        </w:rPr>
        <w:t xml:space="preserve"> how the restricted approach to </w:t>
      </w:r>
      <w:r w:rsidRPr="002A7352">
        <w:rPr>
          <w:rFonts w:cs="Comic_Sans_MS"/>
          <w:i/>
        </w:rPr>
        <w:t>sovereign immunity came to be accepted in South</w:t>
      </w:r>
      <w:r>
        <w:rPr>
          <w:rFonts w:cs="Comic_Sans_MS"/>
          <w:i/>
        </w:rPr>
        <w:t xml:space="preserve"> African courts. (All the cases </w:t>
      </w:r>
      <w:r w:rsidRPr="002A7352">
        <w:rPr>
          <w:rFonts w:cs="Comic_Sans_MS"/>
          <w:i/>
        </w:rPr>
        <w:t xml:space="preserve">that you need for this exercise are in </w:t>
      </w:r>
      <w:proofErr w:type="spellStart"/>
      <w:r w:rsidRPr="002A7352">
        <w:rPr>
          <w:rFonts w:cs="Comic_Sans_MS"/>
          <w:i/>
        </w:rPr>
        <w:t>Dugard</w:t>
      </w:r>
      <w:proofErr w:type="spellEnd"/>
      <w:r w:rsidRPr="002A7352">
        <w:rPr>
          <w:rFonts w:cs="Comic_Sans_MS"/>
          <w:i/>
        </w:rPr>
        <w:t>.)</w:t>
      </w:r>
    </w:p>
    <w:p w:rsidR="002A7352" w:rsidRDefault="002A7352" w:rsidP="002A7352">
      <w:pPr>
        <w:autoSpaceDE w:val="0"/>
        <w:autoSpaceDN w:val="0"/>
        <w:adjustRightInd w:val="0"/>
        <w:spacing w:after="0" w:line="240" w:lineRule="auto"/>
        <w:rPr>
          <w:rFonts w:cs="Comic_Sans_MS"/>
          <w:i/>
        </w:rPr>
      </w:pPr>
    </w:p>
    <w:p w:rsidR="002A7352" w:rsidRDefault="002A7352" w:rsidP="002A7352">
      <w:pPr>
        <w:pStyle w:val="NoSpacing"/>
      </w:pPr>
      <w:r>
        <w:t xml:space="preserve">For the sake of clarity, let us </w:t>
      </w:r>
      <w:r>
        <w:rPr>
          <w:u w:val="single"/>
        </w:rPr>
        <w:t xml:space="preserve">distinguish between the </w:t>
      </w:r>
      <w:proofErr w:type="spellStart"/>
      <w:r>
        <w:rPr>
          <w:u w:val="single"/>
        </w:rPr>
        <w:t>theories</w:t>
      </w:r>
      <w:r>
        <w:t>of</w:t>
      </w:r>
      <w:proofErr w:type="spellEnd"/>
      <w:r>
        <w:t xml:space="preserve"> absolute sovereign immunity and restricted sovereign immunity. </w:t>
      </w:r>
    </w:p>
    <w:p w:rsidR="002A7352" w:rsidRDefault="002A7352" w:rsidP="002A7352">
      <w:pPr>
        <w:pStyle w:val="NoSpacing"/>
      </w:pPr>
      <w:r>
        <w:t xml:space="preserve">According to the theory of absolute sovereign immunity, a state was </w:t>
      </w:r>
      <w:r>
        <w:rPr>
          <w:u w:val="single"/>
        </w:rPr>
        <w:t xml:space="preserve">always </w:t>
      </w:r>
      <w:r>
        <w:t xml:space="preserve">immune from prosecution in the courts of another state with respect to </w:t>
      </w:r>
      <w:proofErr w:type="spellStart"/>
      <w:r>
        <w:rPr>
          <w:u w:val="single"/>
        </w:rPr>
        <w:t>all</w:t>
      </w:r>
      <w:r>
        <w:t>acts</w:t>
      </w:r>
      <w:proofErr w:type="spellEnd"/>
      <w:r>
        <w:t xml:space="preserve"> that it performed. As we have explained above, proponents of this theory argue that all sovereigns were equal and one sovereign could not be subjected to the jurisdiction of another. </w:t>
      </w:r>
    </w:p>
    <w:p w:rsidR="002A7352" w:rsidRDefault="002A7352" w:rsidP="002A7352">
      <w:pPr>
        <w:pStyle w:val="NoSpacing"/>
      </w:pPr>
      <w:r>
        <w:t xml:space="preserve">The theory of restricted (qualified) sovereign immunity entails that a state is, in principle, immune from being questioned in the courts of another state, but it loses this immunity when it descends into the market place. When a state acts as an ordinary trader it is expected to </w:t>
      </w:r>
      <w:proofErr w:type="spellStart"/>
      <w:r>
        <w:t>honour</w:t>
      </w:r>
      <w:proofErr w:type="spellEnd"/>
      <w:r>
        <w:t xml:space="preserve"> its obligations and it is subject to the laws which all ordinary traders must abide by. One must therefore distinguish between: </w:t>
      </w:r>
    </w:p>
    <w:p w:rsidR="002A7352" w:rsidRDefault="002A7352" w:rsidP="002A7352">
      <w:pPr>
        <w:pStyle w:val="NoSpacing"/>
      </w:pPr>
      <w:r>
        <w:t xml:space="preserve">• </w:t>
      </w:r>
      <w:proofErr w:type="gramStart"/>
      <w:r>
        <w:t>public</w:t>
      </w:r>
      <w:proofErr w:type="gramEnd"/>
      <w:r>
        <w:t xml:space="preserve"> governmental acts (</w:t>
      </w:r>
      <w:proofErr w:type="spellStart"/>
      <w:r>
        <w:rPr>
          <w:i/>
          <w:iCs/>
        </w:rPr>
        <w:t>acta</w:t>
      </w:r>
      <w:proofErr w:type="spellEnd"/>
      <w:r>
        <w:rPr>
          <w:i/>
          <w:iCs/>
        </w:rPr>
        <w:t xml:space="preserve"> </w:t>
      </w:r>
      <w:proofErr w:type="spellStart"/>
      <w:r>
        <w:rPr>
          <w:i/>
          <w:iCs/>
        </w:rPr>
        <w:t>iure</w:t>
      </w:r>
      <w:proofErr w:type="spellEnd"/>
      <w:r>
        <w:rPr>
          <w:i/>
          <w:iCs/>
        </w:rPr>
        <w:t xml:space="preserve"> </w:t>
      </w:r>
      <w:proofErr w:type="spellStart"/>
      <w:r>
        <w:rPr>
          <w:i/>
          <w:iCs/>
        </w:rPr>
        <w:t>imperii</w:t>
      </w:r>
      <w:proofErr w:type="spellEnd"/>
      <w:r>
        <w:t xml:space="preserve">): if claims arise from such acts, the acting state will be immune from the jurisdiction of another state’s courts, and </w:t>
      </w:r>
    </w:p>
    <w:p w:rsidR="002A7352" w:rsidRDefault="002A7352" w:rsidP="002A7352">
      <w:pPr>
        <w:pStyle w:val="NoSpacing"/>
      </w:pPr>
      <w:r>
        <w:t xml:space="preserve">• </w:t>
      </w:r>
      <w:proofErr w:type="gramStart"/>
      <w:r>
        <w:rPr>
          <w:i/>
          <w:iCs/>
        </w:rPr>
        <w:t>commercial</w:t>
      </w:r>
      <w:proofErr w:type="gramEnd"/>
      <w:r>
        <w:rPr>
          <w:i/>
          <w:iCs/>
        </w:rPr>
        <w:t xml:space="preserve"> activities (</w:t>
      </w:r>
      <w:proofErr w:type="spellStart"/>
      <w:r>
        <w:rPr>
          <w:i/>
          <w:iCs/>
        </w:rPr>
        <w:t>acta</w:t>
      </w:r>
      <w:proofErr w:type="spellEnd"/>
      <w:r>
        <w:rPr>
          <w:i/>
          <w:iCs/>
        </w:rPr>
        <w:t xml:space="preserve"> </w:t>
      </w:r>
      <w:proofErr w:type="spellStart"/>
      <w:r>
        <w:rPr>
          <w:i/>
          <w:iCs/>
        </w:rPr>
        <w:t>iure</w:t>
      </w:r>
      <w:proofErr w:type="spellEnd"/>
      <w:r>
        <w:rPr>
          <w:i/>
          <w:iCs/>
        </w:rPr>
        <w:t xml:space="preserve"> </w:t>
      </w:r>
      <w:proofErr w:type="spellStart"/>
      <w:r>
        <w:rPr>
          <w:i/>
          <w:iCs/>
        </w:rPr>
        <w:t>gestionis</w:t>
      </w:r>
      <w:proofErr w:type="spellEnd"/>
      <w:r>
        <w:rPr>
          <w:i/>
          <w:iCs/>
        </w:rPr>
        <w:t xml:space="preserve">): a state will not be immune from jurisdiction if </w:t>
      </w:r>
      <w:r>
        <w:t xml:space="preserve">claims arise from these activities. </w:t>
      </w:r>
    </w:p>
    <w:p w:rsidR="002A7352" w:rsidRDefault="002A7352" w:rsidP="002A7352">
      <w:pPr>
        <w:pStyle w:val="NoSpacing"/>
      </w:pPr>
    </w:p>
    <w:p w:rsidR="002A7352" w:rsidRDefault="002A7352" w:rsidP="002A7352">
      <w:pPr>
        <w:pStyle w:val="NoSpacing"/>
      </w:pPr>
      <w:r>
        <w:t xml:space="preserve">It should also be noted that the 2004 UN Convention on Jurisdictional Immunities of States and Their Property approves the doctrine of restricted immunity in the field of commercial activities and its Preamble proclaims that the jurisdictional immunities of states and their property are generally accepted as a principle of customary international law. </w:t>
      </w:r>
    </w:p>
    <w:p w:rsidR="002A7352" w:rsidRDefault="002A7352" w:rsidP="002A7352">
      <w:pPr>
        <w:pStyle w:val="NoSpacing"/>
      </w:pPr>
      <w:r>
        <w:t>Today, many states (</w:t>
      </w:r>
      <w:proofErr w:type="spellStart"/>
      <w:r>
        <w:t>eg</w:t>
      </w:r>
      <w:proofErr w:type="spellEnd"/>
      <w:r>
        <w:t xml:space="preserve"> Canada, USA, UK) support the theory of restricted immunity (which is the fairer of the two from the ordinary trader’s point of view), although the UK (whose judicial practice in this regard has been followed by SA courts) only approved of the restricted approach in 1976 (</w:t>
      </w:r>
      <w:proofErr w:type="spellStart"/>
      <w:r>
        <w:rPr>
          <w:i/>
          <w:iCs/>
        </w:rPr>
        <w:t>Trendtex</w:t>
      </w:r>
      <w:proofErr w:type="spellEnd"/>
      <w:r>
        <w:rPr>
          <w:i/>
          <w:iCs/>
        </w:rPr>
        <w:t xml:space="preserve"> Trading Corporation v Central Bank of Nigeria</w:t>
      </w:r>
      <w:r>
        <w:t xml:space="preserve">). </w:t>
      </w:r>
    </w:p>
    <w:p w:rsidR="002A7352" w:rsidRDefault="002A7352" w:rsidP="002A7352">
      <w:pPr>
        <w:pStyle w:val="NoSpacing"/>
      </w:pPr>
      <w:r>
        <w:rPr>
          <w:u w:val="single"/>
        </w:rPr>
        <w:t xml:space="preserve">Development in SA law </w:t>
      </w:r>
    </w:p>
    <w:p w:rsidR="002A7352" w:rsidRDefault="002A7352" w:rsidP="002A7352">
      <w:pPr>
        <w:pStyle w:val="NoSpacing"/>
      </w:pPr>
      <w:r>
        <w:t xml:space="preserve">Initially, South African courts applied the theory of absolute sovereign immunity. For example, in </w:t>
      </w:r>
      <w:r>
        <w:rPr>
          <w:i/>
          <w:iCs/>
        </w:rPr>
        <w:t xml:space="preserve">De </w:t>
      </w:r>
      <w:proofErr w:type="spellStart"/>
      <w:r>
        <w:rPr>
          <w:i/>
          <w:iCs/>
        </w:rPr>
        <w:t>Howorth</w:t>
      </w:r>
      <w:proofErr w:type="spellEnd"/>
      <w:r>
        <w:rPr>
          <w:i/>
          <w:iCs/>
        </w:rPr>
        <w:t xml:space="preserve"> v The SS India </w:t>
      </w:r>
      <w:r>
        <w:t xml:space="preserve">such immunity was upheld in respect of a merchant ship owned by the Portuguese government, because the vessel was found to have been used for a public purpose. </w:t>
      </w:r>
    </w:p>
    <w:p w:rsidR="002A7352" w:rsidRDefault="002A7352" w:rsidP="002A7352">
      <w:pPr>
        <w:pStyle w:val="NoSpacing"/>
      </w:pPr>
      <w:r>
        <w:t xml:space="preserve">In the SA case of </w:t>
      </w:r>
      <w:r>
        <w:rPr>
          <w:i/>
          <w:iCs/>
        </w:rPr>
        <w:t xml:space="preserve">Inter-Science Research and Development Services (Pty) Ltd v </w:t>
      </w:r>
      <w:proofErr w:type="spellStart"/>
      <w:r>
        <w:rPr>
          <w:i/>
          <w:iCs/>
        </w:rPr>
        <w:t>Republica</w:t>
      </w:r>
      <w:proofErr w:type="spellEnd"/>
      <w:r>
        <w:rPr>
          <w:i/>
          <w:iCs/>
        </w:rPr>
        <w:t xml:space="preserve"> Popular de </w:t>
      </w:r>
      <w:proofErr w:type="spellStart"/>
      <w:r>
        <w:rPr>
          <w:i/>
          <w:iCs/>
        </w:rPr>
        <w:t>Moçambique</w:t>
      </w:r>
      <w:proofErr w:type="spellEnd"/>
      <w:r>
        <w:rPr>
          <w:i/>
          <w:iCs/>
        </w:rPr>
        <w:t xml:space="preserve"> </w:t>
      </w:r>
      <w:r>
        <w:t>the court concluded that the theory of restricted sovereign immunity was a general rule of international law (and applied it). The court observed that “[there was] an abundance of South African judicial authority…in support of the absolute doctrine... [</w:t>
      </w:r>
      <w:proofErr w:type="gramStart"/>
      <w:r>
        <w:t>but</w:t>
      </w:r>
      <w:proofErr w:type="gramEnd"/>
      <w:r>
        <w:t xml:space="preserve">]…there is good reason to believe that the rule of sovereign immunity has undergone an important change, and that the old doctrine of absolute immunity has yielded to the restrictive doctrine”. As to whether the doctrine of </w:t>
      </w:r>
      <w:r>
        <w:rPr>
          <w:i/>
          <w:iCs/>
        </w:rPr>
        <w:t xml:space="preserve">stare </w:t>
      </w:r>
      <w:proofErr w:type="spellStart"/>
      <w:r>
        <w:rPr>
          <w:i/>
          <w:iCs/>
        </w:rPr>
        <w:t>decisis</w:t>
      </w:r>
      <w:proofErr w:type="spellEnd"/>
      <w:r>
        <w:rPr>
          <w:i/>
          <w:iCs/>
        </w:rPr>
        <w:t xml:space="preserve"> </w:t>
      </w:r>
      <w:r>
        <w:t xml:space="preserve">would present difficulty in implementing this change, the court concluded that “the rule [of absolute sovereign immunity] stated in the earlier English decisions no longer represents the rule of international law, and the </w:t>
      </w:r>
      <w:r>
        <w:rPr>
          <w:i/>
          <w:iCs/>
        </w:rPr>
        <w:t xml:space="preserve">ratio </w:t>
      </w:r>
      <w:r>
        <w:t>of the earlier South African cases is therefore no longer applicable”.</w:t>
      </w:r>
    </w:p>
    <w:p w:rsidR="002A7352" w:rsidRDefault="002A7352" w:rsidP="002A7352">
      <w:pPr>
        <w:pStyle w:val="NoSpacing"/>
      </w:pPr>
      <w:r>
        <w:t xml:space="preserve">The </w:t>
      </w:r>
      <w:r>
        <w:rPr>
          <w:i/>
          <w:iCs/>
        </w:rPr>
        <w:t xml:space="preserve">Inter-Science </w:t>
      </w:r>
      <w:r>
        <w:t xml:space="preserve">decision was approved by the court in </w:t>
      </w:r>
      <w:proofErr w:type="spellStart"/>
      <w:r>
        <w:rPr>
          <w:i/>
          <w:iCs/>
        </w:rPr>
        <w:t>Kaffraria</w:t>
      </w:r>
      <w:proofErr w:type="spellEnd"/>
      <w:r>
        <w:rPr>
          <w:i/>
          <w:iCs/>
        </w:rPr>
        <w:t xml:space="preserve"> Property v Government of the Republic of Zambia</w:t>
      </w:r>
      <w:r>
        <w:t xml:space="preserve">. In the latter judgment the court </w:t>
      </w:r>
      <w:proofErr w:type="spellStart"/>
      <w:r>
        <w:t>emphasised</w:t>
      </w:r>
      <w:proofErr w:type="spellEnd"/>
      <w:r>
        <w:t xml:space="preserve"> that customary international law did change from time to time, and when it had changed (as had happened in the context of sovereign immunity) it was the duty of the courts to ascertain the nature and extent of that change and apply the rule accordingly. </w:t>
      </w:r>
    </w:p>
    <w:p w:rsidR="002A7352" w:rsidRPr="002A7352" w:rsidRDefault="002A7352" w:rsidP="002A7352">
      <w:pPr>
        <w:pStyle w:val="NoSpacing"/>
      </w:pPr>
      <w:r>
        <w:t>The position of sovereign immunity in SA law was “solidified” by legislation (the Sovereign States and Immunities Act of 1981).</w:t>
      </w:r>
    </w:p>
    <w:p w:rsidR="002A7352" w:rsidRDefault="002A7352" w:rsidP="002A7352">
      <w:pPr>
        <w:pStyle w:val="NoSpacing"/>
        <w:rPr>
          <w:rFonts w:ascii="Comic_Sans_MS" w:hAnsi="Comic_Sans_MS" w:cs="Comic_Sans_M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lastRenderedPageBreak/>
        <w:t>Practical exercise 3</w:t>
      </w:r>
    </w:p>
    <w:p w:rsidR="002A7352" w:rsidRDefault="002A7352" w:rsidP="002A7352">
      <w:pPr>
        <w:autoSpaceDE w:val="0"/>
        <w:autoSpaceDN w:val="0"/>
        <w:adjustRightInd w:val="0"/>
        <w:spacing w:after="0" w:line="240" w:lineRule="auto"/>
        <w:rPr>
          <w:rFonts w:cs="Comic_Sans_MS"/>
          <w:i/>
        </w:rPr>
      </w:pPr>
      <w:r w:rsidRPr="002A7352">
        <w:rPr>
          <w:rFonts w:cs="Comic_Sans_MS"/>
          <w:i/>
        </w:rPr>
        <w:t xml:space="preserve">X, a South African painting contractor, </w:t>
      </w:r>
      <w:r>
        <w:rPr>
          <w:rFonts w:cs="Comic_Sans_MS"/>
          <w:i/>
        </w:rPr>
        <w:t xml:space="preserve">enters into a contract with the </w:t>
      </w:r>
      <w:r w:rsidRPr="002A7352">
        <w:rPr>
          <w:rFonts w:cs="Comic_Sans_MS"/>
          <w:i/>
        </w:rPr>
        <w:t>Zimbabwean government to paint the Zim</w:t>
      </w:r>
      <w:r>
        <w:rPr>
          <w:rFonts w:cs="Comic_Sans_MS"/>
          <w:i/>
        </w:rPr>
        <w:t xml:space="preserve">babwean embassy in Pretoria. He </w:t>
      </w:r>
      <w:r w:rsidRPr="002A7352">
        <w:rPr>
          <w:rFonts w:cs="Comic_Sans_MS"/>
          <w:i/>
        </w:rPr>
        <w:t>completes the job satisfactorily. When he</w:t>
      </w:r>
      <w:r>
        <w:rPr>
          <w:rFonts w:cs="Comic_Sans_MS"/>
          <w:i/>
        </w:rPr>
        <w:t xml:space="preserve"> claims payment in terms of the </w:t>
      </w:r>
      <w:r w:rsidRPr="002A7352">
        <w:rPr>
          <w:rFonts w:cs="Comic_Sans_MS"/>
          <w:i/>
        </w:rPr>
        <w:t>contract, Zimbabwe, which is experiencing a ‘‘c</w:t>
      </w:r>
      <w:r>
        <w:rPr>
          <w:rFonts w:cs="Comic_Sans_MS"/>
          <w:i/>
        </w:rPr>
        <w:t xml:space="preserve">ash flow’’ problem at the time, </w:t>
      </w:r>
      <w:r w:rsidRPr="002A7352">
        <w:rPr>
          <w:rFonts w:cs="Comic_Sans_MS"/>
          <w:i/>
        </w:rPr>
        <w:t>refuses to pay. When X sues Zimbabwe for pay</w:t>
      </w:r>
      <w:r>
        <w:rPr>
          <w:rFonts w:cs="Comic_Sans_MS"/>
          <w:i/>
        </w:rPr>
        <w:t xml:space="preserve">ment, Zimbabwe claims immunity, </w:t>
      </w:r>
      <w:r w:rsidRPr="002A7352">
        <w:rPr>
          <w:rFonts w:cs="Comic_Sans_MS"/>
          <w:i/>
        </w:rPr>
        <w:t>as the contract is an act performed by the state a</w:t>
      </w:r>
      <w:r>
        <w:rPr>
          <w:rFonts w:cs="Comic_Sans_MS"/>
          <w:i/>
        </w:rPr>
        <w:t xml:space="preserve">nd therefore not justifiable by </w:t>
      </w:r>
      <w:r w:rsidRPr="002A7352">
        <w:rPr>
          <w:rFonts w:cs="Comic_Sans_MS"/>
          <w:i/>
        </w:rPr>
        <w:t xml:space="preserve">a South African municipal court. </w:t>
      </w:r>
    </w:p>
    <w:p w:rsidR="002A7352" w:rsidRDefault="002A7352" w:rsidP="002A7352">
      <w:pPr>
        <w:autoSpaceDE w:val="0"/>
        <w:autoSpaceDN w:val="0"/>
        <w:adjustRightInd w:val="0"/>
        <w:spacing w:after="0" w:line="240" w:lineRule="auto"/>
        <w:rPr>
          <w:rFonts w:ascii="Comic_Sans_MS" w:hAnsi="Comic_Sans_MS" w:cs="Comic_Sans_MS"/>
        </w:rPr>
      </w:pPr>
      <w:r w:rsidRPr="002A7352">
        <w:rPr>
          <w:rFonts w:cs="Comic_Sans_MS"/>
          <w:i/>
        </w:rPr>
        <w:t>Using these fac</w:t>
      </w:r>
      <w:r>
        <w:rPr>
          <w:rFonts w:cs="Comic_Sans_MS"/>
          <w:i/>
        </w:rPr>
        <w:t xml:space="preserve">ts, explain what the outcome of </w:t>
      </w:r>
      <w:r w:rsidRPr="002A7352">
        <w:rPr>
          <w:rFonts w:cs="Comic_Sans_MS"/>
          <w:i/>
        </w:rPr>
        <w:t>the case would be if (1) the absolute immunity</w:t>
      </w:r>
      <w:r>
        <w:rPr>
          <w:rFonts w:cs="Comic_Sans_MS"/>
          <w:i/>
        </w:rPr>
        <w:t xml:space="preserve"> theory is applied, and (2) the </w:t>
      </w:r>
      <w:r w:rsidRPr="002A7352">
        <w:rPr>
          <w:rFonts w:cs="Comic_Sans_MS"/>
          <w:i/>
        </w:rPr>
        <w:t>restricted immunity theory is applied</w:t>
      </w:r>
      <w:r>
        <w:rPr>
          <w:rFonts w:ascii="Comic_Sans_MS" w:hAnsi="Comic_Sans_MS" w:cs="Comic_Sans_MS"/>
        </w:rPr>
        <w:t>.</w:t>
      </w:r>
    </w:p>
    <w:p w:rsidR="002A7352" w:rsidRDefault="002A7352" w:rsidP="002A7352">
      <w:pPr>
        <w:autoSpaceDE w:val="0"/>
        <w:autoSpaceDN w:val="0"/>
        <w:adjustRightInd w:val="0"/>
        <w:spacing w:after="0" w:line="240" w:lineRule="auto"/>
        <w:rPr>
          <w:rFonts w:ascii="Comic_Sans_MS" w:hAnsi="Comic_Sans_MS" w:cs="Comic_Sans_MS"/>
        </w:rPr>
      </w:pPr>
    </w:p>
    <w:p w:rsidR="002A7352" w:rsidRDefault="002A7352" w:rsidP="002A7352">
      <w:pPr>
        <w:pStyle w:val="NoSpacing"/>
      </w:pPr>
      <w:r>
        <w:t xml:space="preserve">(1) If the absolute immunity theory is applied, the money due could not be claimed from Bolivia as it is absolutely immune from the jurisdiction of the South African courts for contracts it has concluded. </w:t>
      </w:r>
    </w:p>
    <w:p w:rsidR="002A7352" w:rsidRPr="002A7352" w:rsidRDefault="002A7352" w:rsidP="002A7352">
      <w:pPr>
        <w:pStyle w:val="NoSpacing"/>
      </w:pPr>
      <w:r>
        <w:t>(2) If the restricted immunity theory is applied, the contract will be seen as a normal commercial transaction - in concluding the contract, Bolivia was not performing a public governmental function, but was merely acting as a trader in the marketplace. It would, therefore, not succeed in raising immunity and X would get his money.</w:t>
      </w:r>
    </w:p>
    <w:p w:rsidR="002A7352" w:rsidRDefault="002A7352" w:rsidP="002A7352">
      <w:pPr>
        <w:pStyle w:val="NoSpacing"/>
        <w:rPr>
          <w:rFonts w:ascii="Comic_Sans_MS" w:hAnsi="Comic_Sans_MS" w:cs="Comic_Sans_MS"/>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2A7352" w:rsidRDefault="002A7352" w:rsidP="002A7352">
      <w:pPr>
        <w:autoSpaceDE w:val="0"/>
        <w:autoSpaceDN w:val="0"/>
        <w:adjustRightInd w:val="0"/>
        <w:spacing w:after="0" w:line="240" w:lineRule="auto"/>
        <w:rPr>
          <w:rFonts w:cs="Comic_Sans_MS"/>
          <w:b/>
          <w:i/>
        </w:rPr>
      </w:pPr>
      <w:r w:rsidRPr="002A7352">
        <w:rPr>
          <w:rFonts w:cs="Comic_Sans_MS"/>
          <w:i/>
        </w:rPr>
        <w:t xml:space="preserve">Using case law, </w:t>
      </w:r>
      <w:proofErr w:type="spellStart"/>
      <w:r w:rsidRPr="002A7352">
        <w:rPr>
          <w:rFonts w:cs="Comic_Sans_MS"/>
          <w:i/>
        </w:rPr>
        <w:t>analyse</w:t>
      </w:r>
      <w:proofErr w:type="spellEnd"/>
      <w:r w:rsidRPr="002A7352">
        <w:rPr>
          <w:rFonts w:cs="Comic_Sans_MS"/>
          <w:i/>
        </w:rPr>
        <w:t xml:space="preserve"> the practical problems with, first, acts related to</w:t>
      </w:r>
      <w:r>
        <w:rPr>
          <w:rFonts w:cs="Comic_Sans_MS"/>
          <w:i/>
        </w:rPr>
        <w:t xml:space="preserve"> the </w:t>
      </w:r>
      <w:r w:rsidRPr="002A7352">
        <w:rPr>
          <w:rFonts w:cs="Comic_Sans_MS"/>
          <w:i/>
        </w:rPr>
        <w:t>armed forces and diplomatic activity, and, seco</w:t>
      </w:r>
      <w:r>
        <w:rPr>
          <w:rFonts w:cs="Comic_Sans_MS"/>
          <w:i/>
        </w:rPr>
        <w:t xml:space="preserve">ndly, with the concepts of acts </w:t>
      </w:r>
      <w:proofErr w:type="spellStart"/>
      <w:r w:rsidRPr="002A7352">
        <w:rPr>
          <w:rFonts w:cs="Comic_Sans_MS"/>
          <w:b/>
          <w:i/>
        </w:rPr>
        <w:t>iure</w:t>
      </w:r>
      <w:proofErr w:type="spellEnd"/>
      <w:r w:rsidRPr="002A7352">
        <w:rPr>
          <w:rFonts w:cs="Comic_Sans_MS"/>
          <w:b/>
          <w:i/>
        </w:rPr>
        <w:t xml:space="preserve"> </w:t>
      </w:r>
      <w:proofErr w:type="spellStart"/>
      <w:r w:rsidRPr="002A7352">
        <w:rPr>
          <w:rFonts w:cs="Comic_Sans_MS"/>
          <w:b/>
          <w:i/>
        </w:rPr>
        <w:t>imperii</w:t>
      </w:r>
      <w:proofErr w:type="spellEnd"/>
      <w:r w:rsidRPr="002A7352">
        <w:rPr>
          <w:rFonts w:cs="Comic_Sans_MS"/>
          <w:i/>
        </w:rPr>
        <w:t xml:space="preserve"> and </w:t>
      </w:r>
      <w:proofErr w:type="spellStart"/>
      <w:r w:rsidRPr="002A7352">
        <w:rPr>
          <w:rFonts w:cs="Comic_Sans_MS"/>
          <w:b/>
          <w:i/>
        </w:rPr>
        <w:t>iure</w:t>
      </w:r>
      <w:proofErr w:type="spellEnd"/>
      <w:r w:rsidRPr="002A7352">
        <w:rPr>
          <w:rFonts w:cs="Comic_Sans_MS"/>
          <w:b/>
          <w:i/>
        </w:rPr>
        <w:t xml:space="preserve"> </w:t>
      </w:r>
      <w:proofErr w:type="spellStart"/>
      <w:r w:rsidRPr="002A7352">
        <w:rPr>
          <w:rFonts w:cs="Comic_Sans_MS"/>
          <w:b/>
          <w:i/>
        </w:rPr>
        <w:t>gestionis</w:t>
      </w:r>
      <w:proofErr w:type="spellEnd"/>
      <w:r w:rsidRPr="002A7352">
        <w:rPr>
          <w:rFonts w:cs="Comic_Sans_MS"/>
          <w:b/>
          <w:i/>
        </w:rPr>
        <w:t>.</w:t>
      </w:r>
    </w:p>
    <w:p w:rsidR="002A7352" w:rsidRDefault="002A7352" w:rsidP="002A7352">
      <w:pPr>
        <w:autoSpaceDE w:val="0"/>
        <w:autoSpaceDN w:val="0"/>
        <w:adjustRightInd w:val="0"/>
        <w:spacing w:after="0" w:line="240" w:lineRule="auto"/>
        <w:rPr>
          <w:rFonts w:cs="Comic_Sans_MS"/>
          <w:b/>
          <w:i/>
        </w:rPr>
      </w:pPr>
    </w:p>
    <w:p w:rsidR="002A7352" w:rsidRDefault="002A7352" w:rsidP="002A7352">
      <w:pPr>
        <w:pStyle w:val="NoSpacing"/>
      </w:pPr>
      <w:r>
        <w:t xml:space="preserve">At the risk of oversimplification, one can say that an act </w:t>
      </w:r>
      <w:r>
        <w:rPr>
          <w:i/>
          <w:iCs/>
        </w:rPr>
        <w:t xml:space="preserve">jure </w:t>
      </w:r>
      <w:proofErr w:type="spellStart"/>
      <w:r>
        <w:rPr>
          <w:i/>
          <w:iCs/>
        </w:rPr>
        <w:t>imperii</w:t>
      </w:r>
      <w:proofErr w:type="spellEnd"/>
      <w:r>
        <w:rPr>
          <w:i/>
          <w:iCs/>
        </w:rPr>
        <w:t xml:space="preserve"> </w:t>
      </w:r>
      <w:r>
        <w:t xml:space="preserve">is a public governmental act, an act which the state performs while acting with sovereign authority, such as the passing of legislation. </w:t>
      </w:r>
    </w:p>
    <w:p w:rsidR="002A7352" w:rsidRDefault="002A7352" w:rsidP="002A7352">
      <w:pPr>
        <w:pStyle w:val="NoSpacing"/>
      </w:pPr>
      <w:r>
        <w:t xml:space="preserve">An act </w:t>
      </w:r>
      <w:r>
        <w:rPr>
          <w:i/>
          <w:iCs/>
        </w:rPr>
        <w:t xml:space="preserve">jure </w:t>
      </w:r>
      <w:proofErr w:type="spellStart"/>
      <w:r>
        <w:rPr>
          <w:i/>
          <w:iCs/>
        </w:rPr>
        <w:t>gestionis</w:t>
      </w:r>
      <w:proofErr w:type="spellEnd"/>
      <w:r>
        <w:rPr>
          <w:i/>
          <w:iCs/>
        </w:rPr>
        <w:t xml:space="preserve"> </w:t>
      </w:r>
      <w:r>
        <w:t xml:space="preserve">refers to an activity of a commercial nature, in which case the state will be in a position of an “ordinary trader”. </w:t>
      </w:r>
    </w:p>
    <w:p w:rsidR="002A7352" w:rsidRDefault="002A7352" w:rsidP="002A7352">
      <w:pPr>
        <w:pStyle w:val="NoSpacing"/>
      </w:pPr>
      <w:r>
        <w:t xml:space="preserve">As for what “test” should be employed in order to determine whether an act is </w:t>
      </w:r>
      <w:r>
        <w:rPr>
          <w:i/>
          <w:iCs/>
        </w:rPr>
        <w:t xml:space="preserve">jure </w:t>
      </w:r>
      <w:proofErr w:type="spellStart"/>
      <w:r>
        <w:rPr>
          <w:i/>
          <w:iCs/>
        </w:rPr>
        <w:t>imperii</w:t>
      </w:r>
      <w:proofErr w:type="spellEnd"/>
      <w:r>
        <w:rPr>
          <w:i/>
          <w:iCs/>
        </w:rPr>
        <w:t xml:space="preserve"> </w:t>
      </w:r>
      <w:r>
        <w:t xml:space="preserve">or </w:t>
      </w:r>
      <w:r>
        <w:rPr>
          <w:i/>
          <w:iCs/>
        </w:rPr>
        <w:t xml:space="preserve">jure </w:t>
      </w:r>
      <w:proofErr w:type="spellStart"/>
      <w:r>
        <w:rPr>
          <w:i/>
          <w:iCs/>
        </w:rPr>
        <w:t>gestionis</w:t>
      </w:r>
      <w:proofErr w:type="spellEnd"/>
      <w:r>
        <w:t xml:space="preserve">, there were two schools of thought: one maintained that one should look at the purpose of the act, while another supported the nature of the transaction embodied in the act as being the deciding factor. What is the position in South African law? </w:t>
      </w:r>
    </w:p>
    <w:p w:rsidR="002A7352" w:rsidRDefault="002A7352" w:rsidP="002A7352">
      <w:pPr>
        <w:pStyle w:val="NoSpacing"/>
      </w:pPr>
      <w:r>
        <w:t xml:space="preserve">In terms of the provisions of FSIA, a foreign state is </w:t>
      </w:r>
      <w:r>
        <w:rPr>
          <w:u w:val="single"/>
        </w:rPr>
        <w:t xml:space="preserve">not </w:t>
      </w:r>
      <w:proofErr w:type="spellStart"/>
      <w:r>
        <w:rPr>
          <w:u w:val="single"/>
        </w:rPr>
        <w:t>immune</w:t>
      </w:r>
      <w:r>
        <w:t>from</w:t>
      </w:r>
      <w:proofErr w:type="spellEnd"/>
      <w:r>
        <w:t xml:space="preserve"> the jurisdiction of municipal courts when the instituted proceedings relate to a “commercial transaction” into which the state has entered.</w:t>
      </w:r>
    </w:p>
    <w:p w:rsidR="002A7352" w:rsidRDefault="002A7352" w:rsidP="002A7352">
      <w:pPr>
        <w:pStyle w:val="NoSpacing"/>
      </w:pPr>
    </w:p>
    <w:p w:rsidR="002A7352" w:rsidRDefault="002A7352" w:rsidP="002A7352">
      <w:pPr>
        <w:pStyle w:val="NoSpacing"/>
      </w:pPr>
      <w:r>
        <w:t xml:space="preserve"> “Commercial transaction” is defined in section 4 of the Act as: </w:t>
      </w:r>
    </w:p>
    <w:p w:rsidR="002A7352" w:rsidRDefault="002A7352" w:rsidP="002A7352">
      <w:pPr>
        <w:pStyle w:val="NoSpacing"/>
      </w:pPr>
      <w:r>
        <w:t xml:space="preserve">(a) </w:t>
      </w:r>
      <w:proofErr w:type="gramStart"/>
      <w:r>
        <w:t>any</w:t>
      </w:r>
      <w:proofErr w:type="gramEnd"/>
      <w:r>
        <w:t xml:space="preserve"> contract for the supply of services or goods; </w:t>
      </w:r>
    </w:p>
    <w:p w:rsidR="002A7352" w:rsidRDefault="002A7352" w:rsidP="002A7352">
      <w:pPr>
        <w:pStyle w:val="NoSpacing"/>
      </w:pPr>
    </w:p>
    <w:p w:rsidR="002A7352" w:rsidRDefault="002A7352" w:rsidP="002A7352">
      <w:pPr>
        <w:pStyle w:val="NoSpacing"/>
      </w:pPr>
      <w:r>
        <w:t xml:space="preserve">(b) </w:t>
      </w:r>
      <w:proofErr w:type="gramStart"/>
      <w:r>
        <w:t>any</w:t>
      </w:r>
      <w:proofErr w:type="gramEnd"/>
      <w:r>
        <w:t xml:space="preserve"> loan or other transaction for the provision of finance and any guarantee or indemnity in respect of any such loan or other transaction or of any other financial obligation; </w:t>
      </w:r>
    </w:p>
    <w:p w:rsidR="002A7352" w:rsidRDefault="002A7352" w:rsidP="002A7352">
      <w:pPr>
        <w:pStyle w:val="NoSpacing"/>
      </w:pPr>
    </w:p>
    <w:p w:rsidR="002A7352" w:rsidRDefault="002A7352" w:rsidP="002A7352">
      <w:pPr>
        <w:pStyle w:val="NoSpacing"/>
      </w:pPr>
      <w:r>
        <w:t>(c) and any other transaction or activity of a commercial, industrial, financial, professional or other similar character into which the foreign state enters or in which it engages otherwise than in the exercise of sovereign authority, but does not include a contract of employment between a foreign state and an individual.</w:t>
      </w:r>
    </w:p>
    <w:p w:rsidR="002A7352" w:rsidRDefault="002A7352" w:rsidP="002A7352">
      <w:pPr>
        <w:pStyle w:val="NoSpacing"/>
      </w:pPr>
      <w:proofErr w:type="gramStart"/>
      <w:r>
        <w:t>the</w:t>
      </w:r>
      <w:proofErr w:type="gramEnd"/>
      <w:r>
        <w:t xml:space="preserve"> </w:t>
      </w:r>
      <w:r>
        <w:rPr>
          <w:u w:val="single"/>
        </w:rPr>
        <w:t>nature</w:t>
      </w:r>
      <w:r>
        <w:rPr>
          <w:u w:val="single"/>
        </w:rPr>
        <w:t xml:space="preserve"> </w:t>
      </w:r>
      <w:r>
        <w:t xml:space="preserve">of the contract, rather than its purpose. This was confirmed in the judgment of the court in </w:t>
      </w:r>
      <w:proofErr w:type="spellStart"/>
      <w:r>
        <w:rPr>
          <w:i/>
          <w:iCs/>
        </w:rPr>
        <w:t>Akademik</w:t>
      </w:r>
      <w:proofErr w:type="spellEnd"/>
      <w:r>
        <w:rPr>
          <w:i/>
          <w:iCs/>
        </w:rPr>
        <w:t xml:space="preserve"> </w:t>
      </w:r>
      <w:proofErr w:type="spellStart"/>
      <w:r>
        <w:rPr>
          <w:i/>
          <w:iCs/>
        </w:rPr>
        <w:t>Fyodorov</w:t>
      </w:r>
      <w:proofErr w:type="spellEnd"/>
      <w:r>
        <w:rPr>
          <w:i/>
          <w:iCs/>
        </w:rPr>
        <w:t xml:space="preserve">: Government of the Russian Federation v Marine Expeditions </w:t>
      </w:r>
      <w:proofErr w:type="spellStart"/>
      <w:r>
        <w:rPr>
          <w:i/>
          <w:iCs/>
        </w:rPr>
        <w:t>Inc</w:t>
      </w:r>
      <w:proofErr w:type="spellEnd"/>
      <w:r>
        <w:t xml:space="preserve">, where it was held that section 4(3) of the FSIA poses an objective criterion based on the nature or character of a particular transaction, contract or activity without reference to its purpose. </w:t>
      </w:r>
    </w:p>
    <w:p w:rsidR="002A7352" w:rsidRDefault="002A7352" w:rsidP="002A7352">
      <w:pPr>
        <w:pStyle w:val="NoSpacing"/>
      </w:pPr>
      <w:r>
        <w:t xml:space="preserve">However, even with this guideline in mind, there may still be actions related to the armed forces and diplomatic activities that will be hard to classify. You will probably also recall the judgment in the American case of </w:t>
      </w:r>
      <w:r>
        <w:rPr>
          <w:i/>
          <w:iCs/>
        </w:rPr>
        <w:t xml:space="preserve">Victory Transport </w:t>
      </w:r>
      <w:proofErr w:type="spellStart"/>
      <w:r>
        <w:rPr>
          <w:i/>
          <w:iCs/>
        </w:rPr>
        <w:t>Inc</w:t>
      </w:r>
      <w:proofErr w:type="spellEnd"/>
      <w:r>
        <w:rPr>
          <w:i/>
          <w:iCs/>
        </w:rPr>
        <w:t xml:space="preserve"> v </w:t>
      </w:r>
      <w:proofErr w:type="spellStart"/>
      <w:r>
        <w:rPr>
          <w:i/>
          <w:iCs/>
        </w:rPr>
        <w:t>Comisaria</w:t>
      </w:r>
      <w:proofErr w:type="spellEnd"/>
      <w:r>
        <w:rPr>
          <w:i/>
          <w:iCs/>
        </w:rPr>
        <w:t xml:space="preserve"> General de </w:t>
      </w:r>
      <w:proofErr w:type="spellStart"/>
      <w:r>
        <w:rPr>
          <w:i/>
          <w:iCs/>
        </w:rPr>
        <w:t>Abastecinientos</w:t>
      </w:r>
      <w:proofErr w:type="spellEnd"/>
      <w:r>
        <w:rPr>
          <w:i/>
          <w:iCs/>
        </w:rPr>
        <w:t xml:space="preserve"> Y </w:t>
      </w:r>
      <w:proofErr w:type="spellStart"/>
      <w:r>
        <w:rPr>
          <w:i/>
          <w:iCs/>
        </w:rPr>
        <w:t>Transportes</w:t>
      </w:r>
      <w:proofErr w:type="spellEnd"/>
      <w:r>
        <w:t xml:space="preserve">, where it was held that acts related to the armed forces, internal administrative acts, legislative acts, acts related to diplomatic activity, and public loans are to be regarded as acts in which a state engages in the exercise of sovereign authority – that is, </w:t>
      </w:r>
      <w:proofErr w:type="spellStart"/>
      <w:r>
        <w:rPr>
          <w:i/>
          <w:iCs/>
        </w:rPr>
        <w:t>acta</w:t>
      </w:r>
      <w:proofErr w:type="spellEnd"/>
      <w:r>
        <w:rPr>
          <w:i/>
          <w:iCs/>
        </w:rPr>
        <w:t xml:space="preserve"> jure </w:t>
      </w:r>
      <w:proofErr w:type="spellStart"/>
      <w:r>
        <w:rPr>
          <w:i/>
          <w:iCs/>
        </w:rPr>
        <w:t>imperii</w:t>
      </w:r>
      <w:proofErr w:type="spellEnd"/>
      <w:r>
        <w:t xml:space="preserve">. The difficulty we are referring to can be illustrated by the following example: suppose there is a contract of purchase and sale in terms of which state A buys </w:t>
      </w:r>
      <w:proofErr w:type="spellStart"/>
      <w:r>
        <w:t>tyres</w:t>
      </w:r>
      <w:proofErr w:type="spellEnd"/>
      <w:r>
        <w:t xml:space="preserve"> for its army trucks from a South African company. At first glance this is an act related to the armed forces, but it would also fall within the scope of section 4(c) of FSIA because, as we pointed out above, it is the nature of the contract (a purchase and sale contract), and not its purpose (equipping State A’s army) which is relevant in </w:t>
      </w:r>
      <w:r>
        <w:lastRenderedPageBreak/>
        <w:t xml:space="preserve">this context. However, </w:t>
      </w:r>
      <w:proofErr w:type="spellStart"/>
      <w:r>
        <w:t>Dugard</w:t>
      </w:r>
      <w:proofErr w:type="spellEnd"/>
      <w:r>
        <w:t xml:space="preserve"> highlights the fact that this view would “fail to have regard to the fact that courts are likely to be weary in asserting jurisdiction over any matter related to the armed forces”. </w:t>
      </w:r>
    </w:p>
    <w:p w:rsidR="002A7352" w:rsidRDefault="002A7352" w:rsidP="002A7352">
      <w:pPr>
        <w:pStyle w:val="NoSpacing"/>
      </w:pPr>
      <w:r>
        <w:t xml:space="preserve">In the American case of </w:t>
      </w:r>
      <w:proofErr w:type="spellStart"/>
      <w:r>
        <w:rPr>
          <w:i/>
          <w:iCs/>
        </w:rPr>
        <w:t>Aerotrade</w:t>
      </w:r>
      <w:proofErr w:type="spellEnd"/>
      <w:r>
        <w:rPr>
          <w:i/>
          <w:iCs/>
        </w:rPr>
        <w:t xml:space="preserve"> v Republic of Haiti</w:t>
      </w:r>
      <w:r>
        <w:t xml:space="preserve">, the Republic of Haiti was successful in raising immunity against a claim for payment for military equipment supplied to it for use by its armed forces. </w:t>
      </w:r>
    </w:p>
    <w:p w:rsidR="002A7352" w:rsidRDefault="002A7352" w:rsidP="002A7352">
      <w:pPr>
        <w:pStyle w:val="NoSpacing"/>
      </w:pPr>
      <w:r>
        <w:rPr>
          <w:sz w:val="23"/>
          <w:szCs w:val="23"/>
        </w:rPr>
        <w:t xml:space="preserve">Similar difficulty is encountered with the classification of diplomatic activity. For example, in </w:t>
      </w:r>
      <w:r>
        <w:rPr>
          <w:i/>
          <w:iCs/>
          <w:sz w:val="23"/>
          <w:szCs w:val="23"/>
        </w:rPr>
        <w:t xml:space="preserve">Prentice Shaw and </w:t>
      </w:r>
      <w:proofErr w:type="spellStart"/>
      <w:r>
        <w:rPr>
          <w:i/>
          <w:iCs/>
          <w:sz w:val="23"/>
          <w:szCs w:val="23"/>
        </w:rPr>
        <w:t>Scheiss</w:t>
      </w:r>
      <w:proofErr w:type="spellEnd"/>
      <w:r>
        <w:rPr>
          <w:i/>
          <w:iCs/>
          <w:sz w:val="23"/>
          <w:szCs w:val="23"/>
        </w:rPr>
        <w:t xml:space="preserve"> v Government of the Republic of Bolivia </w:t>
      </w:r>
      <w:r>
        <w:rPr>
          <w:sz w:val="23"/>
          <w:szCs w:val="23"/>
        </w:rPr>
        <w:t xml:space="preserve">a contract for the erection of an embassy was deemed to be an act </w:t>
      </w:r>
      <w:r>
        <w:rPr>
          <w:i/>
          <w:iCs/>
          <w:sz w:val="23"/>
          <w:szCs w:val="23"/>
        </w:rPr>
        <w:t xml:space="preserve">jure </w:t>
      </w:r>
      <w:proofErr w:type="spellStart"/>
      <w:r>
        <w:rPr>
          <w:i/>
          <w:iCs/>
          <w:sz w:val="23"/>
          <w:szCs w:val="23"/>
        </w:rPr>
        <w:t>imperii</w:t>
      </w:r>
      <w:proofErr w:type="spellEnd"/>
      <w:r>
        <w:rPr>
          <w:sz w:val="23"/>
          <w:szCs w:val="23"/>
        </w:rPr>
        <w:t xml:space="preserve">, while in the English case of </w:t>
      </w:r>
      <w:proofErr w:type="spellStart"/>
      <w:r>
        <w:rPr>
          <w:i/>
          <w:iCs/>
          <w:sz w:val="23"/>
          <w:szCs w:val="23"/>
        </w:rPr>
        <w:t>Planmount</w:t>
      </w:r>
      <w:proofErr w:type="spellEnd"/>
      <w:r>
        <w:rPr>
          <w:i/>
          <w:iCs/>
          <w:sz w:val="23"/>
          <w:szCs w:val="23"/>
        </w:rPr>
        <w:t xml:space="preserve"> Ltd v Republic of Zaire </w:t>
      </w:r>
      <w:r>
        <w:rPr>
          <w:sz w:val="23"/>
          <w:szCs w:val="23"/>
        </w:rPr>
        <w:t>a contract for the repairs of an ambassador’s residence was classified as an act of a commercial nature</w:t>
      </w:r>
    </w:p>
    <w:p w:rsidR="002A7352" w:rsidRPr="002A7352" w:rsidRDefault="002A7352" w:rsidP="002A7352">
      <w:pPr>
        <w:pStyle w:val="NoSpacing"/>
      </w:pPr>
    </w:p>
    <w:p w:rsidR="002A7352" w:rsidRDefault="002A7352" w:rsidP="002A7352">
      <w:pPr>
        <w:pStyle w:val="NoSpacing"/>
        <w:rPr>
          <w:rFonts w:ascii="Comic_Sans_MS" w:hAnsi="Comic_Sans_MS" w:cs="Comic_Sans_MS"/>
          <w:b/>
          <w:i/>
        </w:rPr>
      </w:pPr>
    </w:p>
    <w:p w:rsidR="002A7352" w:rsidRDefault="002A7352" w:rsidP="002A735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2A7352" w:rsidRDefault="002A7352" w:rsidP="002A7352">
      <w:pPr>
        <w:autoSpaceDE w:val="0"/>
        <w:autoSpaceDN w:val="0"/>
        <w:adjustRightInd w:val="0"/>
        <w:spacing w:after="0" w:line="240" w:lineRule="auto"/>
        <w:rPr>
          <w:rFonts w:cs="Comic_Sans_MS"/>
          <w:i/>
        </w:rPr>
      </w:pPr>
      <w:r w:rsidRPr="002A7352">
        <w:rPr>
          <w:rFonts w:cs="Comic_Sans_MS"/>
          <w:i/>
        </w:rPr>
        <w:t>Contrast the approach of the majority decision o</w:t>
      </w:r>
      <w:r>
        <w:rPr>
          <w:rFonts w:cs="Comic_Sans_MS"/>
          <w:i/>
        </w:rPr>
        <w:t xml:space="preserve">f the ICJ in the Arrest Warrant </w:t>
      </w:r>
      <w:r w:rsidRPr="002A7352">
        <w:rPr>
          <w:rFonts w:cs="Comic_Sans_MS"/>
          <w:i/>
        </w:rPr>
        <w:t xml:space="preserve">case with that of the minority decision by ad hoc Judge Van Den </w:t>
      </w:r>
      <w:proofErr w:type="spellStart"/>
      <w:r w:rsidRPr="002A7352">
        <w:rPr>
          <w:rFonts w:cs="Comic_Sans_MS"/>
          <w:i/>
        </w:rPr>
        <w:t>Wyngaert</w:t>
      </w:r>
      <w:proofErr w:type="spellEnd"/>
    </w:p>
    <w:p w:rsidR="002A7352" w:rsidRDefault="002A7352" w:rsidP="002A7352">
      <w:pPr>
        <w:autoSpaceDE w:val="0"/>
        <w:autoSpaceDN w:val="0"/>
        <w:adjustRightInd w:val="0"/>
        <w:spacing w:after="0" w:line="240" w:lineRule="auto"/>
        <w:rPr>
          <w:rFonts w:cs="Comic_Sans_MS"/>
          <w:i/>
        </w:rPr>
      </w:pPr>
    </w:p>
    <w:p w:rsidR="002A7352" w:rsidRDefault="002A7352" w:rsidP="002A7352">
      <w:pPr>
        <w:pStyle w:val="NoSpacing"/>
      </w:pPr>
      <w:r>
        <w:t xml:space="preserve">A Belgian court issued warrant of arrest against </w:t>
      </w:r>
      <w:proofErr w:type="spellStart"/>
      <w:r>
        <w:t>Mr</w:t>
      </w:r>
      <w:proofErr w:type="spellEnd"/>
      <w:r>
        <w:t xml:space="preserve"> </w:t>
      </w:r>
      <w:proofErr w:type="spellStart"/>
      <w:r>
        <w:t>Abdulaye</w:t>
      </w:r>
      <w:proofErr w:type="spellEnd"/>
      <w:r>
        <w:t xml:space="preserve"> </w:t>
      </w:r>
      <w:proofErr w:type="spellStart"/>
      <w:r>
        <w:t>Yerodia</w:t>
      </w:r>
      <w:proofErr w:type="spellEnd"/>
      <w:r>
        <w:t xml:space="preserve"> </w:t>
      </w:r>
      <w:proofErr w:type="spellStart"/>
      <w:r>
        <w:t>Ndombasi</w:t>
      </w:r>
      <w:proofErr w:type="spellEnd"/>
      <w:r>
        <w:t xml:space="preserve"> for offences constituting grave breaches of the Geneva Conventions of 1949</w:t>
      </w:r>
      <w:r>
        <w:rPr>
          <w:i/>
          <w:iCs/>
        </w:rPr>
        <w:t xml:space="preserve">, </w:t>
      </w:r>
      <w:r>
        <w:t xml:space="preserve">and crimes against humanity. When the warrant was issued, </w:t>
      </w:r>
      <w:proofErr w:type="spellStart"/>
      <w:r>
        <w:t>Mr</w:t>
      </w:r>
      <w:proofErr w:type="spellEnd"/>
      <w:r>
        <w:t xml:space="preserve"> </w:t>
      </w:r>
      <w:proofErr w:type="spellStart"/>
      <w:r>
        <w:t>Yerodia</w:t>
      </w:r>
      <w:proofErr w:type="spellEnd"/>
      <w:r>
        <w:t xml:space="preserve"> was the Minister for Foreign Affairs of the DRC. The Congolese government claimed the process constituted a violation of the rules of customary international law on absolute inviolability and immunity from criminal process for incumbent foreign ministers. The Belgian court was able to issue the warrant because, at the time, Belgian law endowed the courts with universal jurisdiction over serious breaches of international humanitarian law, without the possibility of raising immunity </w:t>
      </w:r>
      <w:proofErr w:type="spellStart"/>
      <w:r>
        <w:rPr>
          <w:i/>
          <w:iCs/>
        </w:rPr>
        <w:t>rationae</w:t>
      </w:r>
      <w:proofErr w:type="spellEnd"/>
      <w:r>
        <w:rPr>
          <w:i/>
          <w:iCs/>
        </w:rPr>
        <w:t xml:space="preserve"> </w:t>
      </w:r>
      <w:proofErr w:type="spellStart"/>
      <w:r>
        <w:rPr>
          <w:i/>
          <w:iCs/>
        </w:rPr>
        <w:t>materiae</w:t>
      </w:r>
      <w:proofErr w:type="spellEnd"/>
      <w:r>
        <w:rPr>
          <w:i/>
          <w:iCs/>
        </w:rPr>
        <w:t xml:space="preserve"> </w:t>
      </w:r>
      <w:r>
        <w:t xml:space="preserve">(immunity with respect to acts performed in the exercise of official functions). </w:t>
      </w:r>
    </w:p>
    <w:p w:rsidR="002A7352" w:rsidRDefault="002A7352" w:rsidP="002A7352">
      <w:pPr>
        <w:pStyle w:val="NoSpacing"/>
      </w:pPr>
    </w:p>
    <w:p w:rsidR="002A7352" w:rsidRDefault="002A7352" w:rsidP="002A7352">
      <w:pPr>
        <w:pStyle w:val="NoSpacing"/>
        <w:rPr>
          <w:sz w:val="23"/>
          <w:szCs w:val="23"/>
        </w:rPr>
      </w:pPr>
      <w:r>
        <w:rPr>
          <w:sz w:val="23"/>
          <w:szCs w:val="23"/>
        </w:rPr>
        <w:t xml:space="preserve">The ICJ majority hearing the case of </w:t>
      </w:r>
      <w:r>
        <w:rPr>
          <w:i/>
          <w:iCs/>
          <w:sz w:val="23"/>
          <w:szCs w:val="23"/>
        </w:rPr>
        <w:t xml:space="preserve">DRC v Belgium </w:t>
      </w:r>
      <w:r>
        <w:rPr>
          <w:sz w:val="23"/>
          <w:szCs w:val="23"/>
        </w:rPr>
        <w:t xml:space="preserve">concluded that a Minister of Foreign Affairs enjoyed the protection of customary international law, and was entitled to immunity from prosecution to the extent enjoyed by a foreign Head of State. This means that, while in office, a Minister of Foreign Affairs has absolute immunity </w:t>
      </w:r>
      <w:proofErr w:type="spellStart"/>
      <w:r>
        <w:rPr>
          <w:i/>
          <w:iCs/>
          <w:sz w:val="23"/>
          <w:szCs w:val="23"/>
        </w:rPr>
        <w:t>rationae</w:t>
      </w:r>
      <w:proofErr w:type="spellEnd"/>
      <w:r>
        <w:rPr>
          <w:i/>
          <w:iCs/>
          <w:sz w:val="23"/>
          <w:szCs w:val="23"/>
        </w:rPr>
        <w:t xml:space="preserve"> personae </w:t>
      </w:r>
      <w:r>
        <w:rPr>
          <w:sz w:val="23"/>
          <w:szCs w:val="23"/>
        </w:rPr>
        <w:t xml:space="preserve">from criminal process before national courts, even for crimes against humanity and war crimes. By issuing the warrant, Belgium had therefore violated international law. Once the Minister of Foreign Affairs stepped down, he could be prosecuted for acts committed in his personal capacity, although he would still have immunity for acts committed as part of his official duties while he was in office (immunity </w:t>
      </w:r>
      <w:proofErr w:type="spellStart"/>
      <w:r>
        <w:rPr>
          <w:i/>
          <w:iCs/>
          <w:sz w:val="23"/>
          <w:szCs w:val="23"/>
        </w:rPr>
        <w:t>rationae</w:t>
      </w:r>
      <w:proofErr w:type="spellEnd"/>
      <w:r>
        <w:rPr>
          <w:i/>
          <w:iCs/>
          <w:sz w:val="23"/>
          <w:szCs w:val="23"/>
        </w:rPr>
        <w:t xml:space="preserve"> </w:t>
      </w:r>
      <w:proofErr w:type="spellStart"/>
      <w:r>
        <w:rPr>
          <w:i/>
          <w:iCs/>
          <w:sz w:val="23"/>
          <w:szCs w:val="23"/>
        </w:rPr>
        <w:t>materiae</w:t>
      </w:r>
      <w:proofErr w:type="spellEnd"/>
      <w:r>
        <w:rPr>
          <w:i/>
          <w:iCs/>
          <w:sz w:val="23"/>
          <w:szCs w:val="23"/>
        </w:rPr>
        <w:t>)</w:t>
      </w:r>
      <w:r>
        <w:rPr>
          <w:sz w:val="23"/>
          <w:szCs w:val="23"/>
        </w:rPr>
        <w:t>.</w:t>
      </w:r>
    </w:p>
    <w:p w:rsidR="002A7352" w:rsidRDefault="002A7352" w:rsidP="002A7352">
      <w:pPr>
        <w:pStyle w:val="NoSpacing"/>
        <w:rPr>
          <w:sz w:val="23"/>
          <w:szCs w:val="23"/>
        </w:rPr>
      </w:pPr>
    </w:p>
    <w:p w:rsidR="002A7352" w:rsidRDefault="002A7352" w:rsidP="002A7352">
      <w:pPr>
        <w:pStyle w:val="NoSpacing"/>
        <w:rPr>
          <w:sz w:val="23"/>
          <w:szCs w:val="23"/>
        </w:rPr>
      </w:pPr>
      <w:r>
        <w:rPr>
          <w:i/>
          <w:iCs/>
          <w:sz w:val="23"/>
          <w:szCs w:val="23"/>
        </w:rPr>
        <w:t xml:space="preserve">Ad hoc </w:t>
      </w:r>
      <w:r>
        <w:rPr>
          <w:sz w:val="23"/>
          <w:szCs w:val="23"/>
        </w:rPr>
        <w:t xml:space="preserve">Judge van </w:t>
      </w:r>
      <w:proofErr w:type="spellStart"/>
      <w:r>
        <w:rPr>
          <w:sz w:val="23"/>
          <w:szCs w:val="23"/>
        </w:rPr>
        <w:t>Wyngaert</w:t>
      </w:r>
      <w:proofErr w:type="spellEnd"/>
      <w:r>
        <w:rPr>
          <w:sz w:val="23"/>
          <w:szCs w:val="23"/>
        </w:rPr>
        <w:t xml:space="preserve"> wrote a dissenting opinion, </w:t>
      </w:r>
      <w:proofErr w:type="spellStart"/>
      <w:r>
        <w:rPr>
          <w:sz w:val="23"/>
          <w:szCs w:val="23"/>
        </w:rPr>
        <w:t>criticising</w:t>
      </w:r>
      <w:proofErr w:type="spellEnd"/>
      <w:r>
        <w:rPr>
          <w:sz w:val="23"/>
          <w:szCs w:val="23"/>
        </w:rPr>
        <w:t xml:space="preserve"> the finding that Ministers of Foreign Affairs enjoy such immunity under customary international law. Not only was state practice in this regard insufficient, but the negative state practice of not instituting criminal proceedings against Ministers of Foreign Affairs could not comply with the requirement of custom if it could not be shown that there was a conscious awareness of a duty not to prosecute on behalf of states. Furthermore, such a finding would fly in the face of recent developments along the lines of accountability for international crimes.</w:t>
      </w: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NoSpacing"/>
        <w:rPr>
          <w:sz w:val="23"/>
          <w:szCs w:val="23"/>
        </w:rPr>
      </w:pPr>
    </w:p>
    <w:p w:rsidR="002A7352" w:rsidRDefault="002A7352" w:rsidP="002A7352">
      <w:pPr>
        <w:pStyle w:val="Title"/>
        <w:jc w:val="center"/>
        <w:rPr>
          <w:sz w:val="36"/>
          <w:szCs w:val="36"/>
        </w:rPr>
      </w:pPr>
      <w:r>
        <w:rPr>
          <w:sz w:val="36"/>
          <w:szCs w:val="36"/>
        </w:rPr>
        <w:lastRenderedPageBreak/>
        <w:t xml:space="preserve">TOPIC </w:t>
      </w:r>
      <w:proofErr w:type="gramStart"/>
      <w:r>
        <w:rPr>
          <w:sz w:val="36"/>
          <w:szCs w:val="36"/>
        </w:rPr>
        <w:t>3 :</w:t>
      </w:r>
      <w:proofErr w:type="gramEnd"/>
    </w:p>
    <w:p w:rsidR="002A7352" w:rsidRDefault="002A7352" w:rsidP="002A7352">
      <w:pPr>
        <w:pStyle w:val="Title"/>
        <w:jc w:val="center"/>
      </w:pPr>
      <w:r>
        <w:t>HUMANITARIAN LAW</w:t>
      </w:r>
    </w:p>
    <w:p w:rsidR="001C75F3" w:rsidRDefault="001C75F3" w:rsidP="001C75F3">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2A7352" w:rsidRPr="008201E1" w:rsidRDefault="001C75F3" w:rsidP="008201E1">
      <w:pPr>
        <w:autoSpaceDE w:val="0"/>
        <w:autoSpaceDN w:val="0"/>
        <w:adjustRightInd w:val="0"/>
        <w:spacing w:after="0" w:line="240" w:lineRule="auto"/>
        <w:rPr>
          <w:rFonts w:cs="Comic_Sans_MS"/>
          <w:i/>
        </w:rPr>
      </w:pPr>
      <w:r w:rsidRPr="008201E1">
        <w:rPr>
          <w:rFonts w:cs="Comic_Sans_MS"/>
          <w:i/>
        </w:rPr>
        <w:t>Read the Legal Consequences of the Constru</w:t>
      </w:r>
      <w:r w:rsidR="008201E1">
        <w:rPr>
          <w:rFonts w:cs="Comic_Sans_MS"/>
          <w:i/>
        </w:rPr>
        <w:t xml:space="preserve">ction of a Wall in the Occupied </w:t>
      </w:r>
      <w:r w:rsidRPr="008201E1">
        <w:rPr>
          <w:rFonts w:cs="Comic_Sans_MS"/>
          <w:i/>
        </w:rPr>
        <w:t>Palestinian Territory 2004 ICJ Reports 136 and</w:t>
      </w:r>
      <w:r w:rsidR="008201E1">
        <w:rPr>
          <w:rFonts w:cs="Comic_Sans_MS"/>
          <w:i/>
        </w:rPr>
        <w:t xml:space="preserve"> explain why the court rejected </w:t>
      </w:r>
      <w:r w:rsidRPr="008201E1">
        <w:rPr>
          <w:rFonts w:cs="Comic_Sans_MS"/>
          <w:i/>
        </w:rPr>
        <w:t>Israel’s claim that the Fourth Geneva Con</w:t>
      </w:r>
      <w:r w:rsidR="008201E1">
        <w:rPr>
          <w:rFonts w:cs="Comic_Sans_MS"/>
          <w:i/>
        </w:rPr>
        <w:t xml:space="preserve">vention was inapplicable to the </w:t>
      </w:r>
      <w:r w:rsidRPr="008201E1">
        <w:rPr>
          <w:rFonts w:cs="Comic_Sans_MS"/>
          <w:i/>
        </w:rPr>
        <w:t>territories of the West Bank and Gaza.</w:t>
      </w:r>
    </w:p>
    <w:p w:rsidR="001C75F3" w:rsidRDefault="001C75F3" w:rsidP="001C75F3">
      <w:pPr>
        <w:rPr>
          <w:rFonts w:ascii="Comic_Sans_MS" w:hAnsi="Comic_Sans_MS" w:cs="Comic_Sans_MS"/>
        </w:rPr>
      </w:pPr>
    </w:p>
    <w:p w:rsidR="008201E1" w:rsidRDefault="008201E1" w:rsidP="008201E1">
      <w:pPr>
        <w:pStyle w:val="NoSpacing"/>
      </w:pPr>
      <w:r>
        <w:t xml:space="preserve">Before we consider Israel’s contention and the response of the ICJ thereto, let us have a look at the text of Common Article 2 of the four Conventions. Article 2 reads as follows: </w:t>
      </w:r>
    </w:p>
    <w:p w:rsidR="008201E1" w:rsidRDefault="008201E1" w:rsidP="008201E1">
      <w:pPr>
        <w:pStyle w:val="NoSpacing"/>
      </w:pPr>
      <w:r>
        <w:t xml:space="preserve">1. In addition to the provisions which shall be implemented in peacetime, the present Convention shall apply to all cases of declared war or of any other armed conflict which may arise between two or more of the High Contracting Parties, even if the state of war is not recognized by one of them. </w:t>
      </w:r>
    </w:p>
    <w:p w:rsidR="008201E1" w:rsidRDefault="008201E1" w:rsidP="008201E1">
      <w:pPr>
        <w:pStyle w:val="NoSpacing"/>
      </w:pPr>
    </w:p>
    <w:p w:rsidR="008201E1" w:rsidRDefault="008201E1" w:rsidP="008201E1">
      <w:pPr>
        <w:pStyle w:val="NoSpacing"/>
      </w:pPr>
      <w:r>
        <w:t xml:space="preserve">2. The Convention shall also apply to all cases of partial or total occupation of the territory of a High Contracting Party, even if the said occupation meets with no armed resistance. </w:t>
      </w:r>
    </w:p>
    <w:p w:rsidR="008201E1" w:rsidRDefault="008201E1" w:rsidP="008201E1">
      <w:pPr>
        <w:pStyle w:val="NoSpacing"/>
      </w:pPr>
    </w:p>
    <w:p w:rsidR="008201E1" w:rsidRDefault="008201E1" w:rsidP="008201E1">
      <w:pPr>
        <w:pStyle w:val="NoSpacing"/>
      </w:pPr>
      <w:r>
        <w:t xml:space="preserve">3. Although one of the Powers in conflict may not be a party to the present Convention, the Powers who are parties thereto shall remain bound by it in their mutual relations. They shall furthermore be bound by the Convention in relation to the said Power, if the latter accepts and applies the provisions thereof. </w:t>
      </w:r>
    </w:p>
    <w:p w:rsidR="008201E1" w:rsidRDefault="008201E1" w:rsidP="008201E1">
      <w:pPr>
        <w:pStyle w:val="NoSpacing"/>
      </w:pPr>
    </w:p>
    <w:p w:rsidR="008201E1" w:rsidRDefault="008201E1" w:rsidP="008201E1">
      <w:pPr>
        <w:pStyle w:val="NoSpacing"/>
      </w:pPr>
      <w:r>
        <w:t xml:space="preserve">In a nutshell, Israel did not agree that the Fourth Geneva Convention was applicable to the occupied Palestinian Territory, because this territory had not been </w:t>
      </w:r>
      <w:proofErr w:type="spellStart"/>
      <w:r>
        <w:t>recognised</w:t>
      </w:r>
      <w:proofErr w:type="spellEnd"/>
      <w:r>
        <w:t xml:space="preserve"> as sovereign prior to its annexation by Jordan and Egypt. It thus inferred that it was "not a territory of a High Contracting Party as required by the Convention". </w:t>
      </w:r>
    </w:p>
    <w:p w:rsidR="008201E1" w:rsidRDefault="008201E1" w:rsidP="008201E1">
      <w:pPr>
        <w:pStyle w:val="NoSpacing"/>
      </w:pPr>
      <w:r>
        <w:t xml:space="preserve">Israel admitted that Jordan had been a party to the Fourth Geneva Convention in 1967, and that an armed conflict did break out between Israel and Jordan at the time. However, Israel contended that the territories which Israel occupied subsequent to that conflict had not previously fallen under Jordanian sovereignty. Therefore, Israel argued, the Convention was not applicable </w:t>
      </w:r>
      <w:r>
        <w:rPr>
          <w:i/>
          <w:iCs/>
        </w:rPr>
        <w:t xml:space="preserve">de jure </w:t>
      </w:r>
      <w:r>
        <w:t xml:space="preserve">in those territories. </w:t>
      </w:r>
    </w:p>
    <w:p w:rsidR="008201E1" w:rsidRDefault="008201E1" w:rsidP="008201E1">
      <w:pPr>
        <w:pStyle w:val="NoSpacing"/>
      </w:pPr>
      <w:r>
        <w:t xml:space="preserve">The court observed that, in terms of article 2(1) of the Fourth Geneva Convention, the latter is applicable when: </w:t>
      </w:r>
    </w:p>
    <w:p w:rsidR="008201E1" w:rsidRDefault="008201E1" w:rsidP="008201E1">
      <w:pPr>
        <w:pStyle w:val="NoSpacing"/>
      </w:pPr>
      <w:r>
        <w:t xml:space="preserve">(1) A situation of armed conflict exists (regardless of whether or not a state of war has been recognized); and </w:t>
      </w:r>
    </w:p>
    <w:p w:rsidR="008201E1" w:rsidRDefault="008201E1" w:rsidP="008201E1">
      <w:pPr>
        <w:pStyle w:val="NoSpacing"/>
      </w:pPr>
    </w:p>
    <w:p w:rsidR="008201E1" w:rsidRDefault="008201E1" w:rsidP="008201E1">
      <w:pPr>
        <w:pStyle w:val="NoSpacing"/>
      </w:pPr>
      <w:r>
        <w:t xml:space="preserve">(2) This conflict has arisen between two contracting parties </w:t>
      </w:r>
    </w:p>
    <w:p w:rsidR="008201E1" w:rsidRDefault="008201E1" w:rsidP="008201E1">
      <w:pPr>
        <w:pStyle w:val="NoSpacing"/>
      </w:pPr>
      <w:r>
        <w:t xml:space="preserve">If these two requirements were met, the Convention would apply in any territory occupied in the course of the conflict by one of the contracting parties. </w:t>
      </w:r>
    </w:p>
    <w:p w:rsidR="008201E1" w:rsidRDefault="008201E1" w:rsidP="008201E1">
      <w:pPr>
        <w:pStyle w:val="NoSpacing"/>
      </w:pPr>
      <w:r>
        <w:t xml:space="preserve">The court also stated that article 2(2) did not serve to restrict the scope of application of the Convention, as defined by the first paragraph. </w:t>
      </w:r>
    </w:p>
    <w:p w:rsidR="008201E1" w:rsidRDefault="008201E1" w:rsidP="008201E1">
      <w:pPr>
        <w:pStyle w:val="NoSpacing"/>
      </w:pPr>
      <w:r>
        <w:t xml:space="preserve">This article did not mean to exclude those territories which did not fall under the sovereignty of one of the contracting parties. Rather, its purpose was to make it clear that the Convention would apply even if the occupation met with no armed resistance. </w:t>
      </w:r>
    </w:p>
    <w:p w:rsidR="008201E1" w:rsidRDefault="008201E1" w:rsidP="008201E1">
      <w:pPr>
        <w:pStyle w:val="NoSpacing"/>
      </w:pPr>
      <w:r>
        <w:t xml:space="preserve">The court pointed out that the interpretation of articles 2(1) and 2(2) enunciated above would reflect the intention of the drafters of the Fourth Geneva Convention – namely to protect civilians who find themselves, in whatever way, in the hands of the occupying power. The Fourth Geneva Convention, the court explained, sought to guarantee the protection of civilians in time of war, regardless of the status of the occupied territories. Such an interpretation was also confirmed by the Convention's preparatory work. </w:t>
      </w:r>
    </w:p>
    <w:p w:rsidR="008201E1" w:rsidRDefault="008201E1" w:rsidP="008201E1">
      <w:pPr>
        <w:pStyle w:val="NoSpacing"/>
      </w:pPr>
      <w:r>
        <w:t xml:space="preserve">Thus, the court concluded as follows: </w:t>
      </w:r>
    </w:p>
    <w:p w:rsidR="008201E1" w:rsidRDefault="008201E1" w:rsidP="008201E1">
      <w:pPr>
        <w:pStyle w:val="NoSpacing"/>
        <w:rPr>
          <w:rFonts w:ascii="Comic_Sans_MS" w:hAnsi="Comic_Sans_MS" w:cs="Comic_Sans_MS"/>
        </w:rPr>
      </w:pPr>
      <w:r>
        <w:t xml:space="preserve">In view of the foregoing, the Court considers that the Fourth Geneva Convention is applicable in any occupied territory in the event of an armed conflict arising between two or more High Contracting Parties. Israel and Jordan were parties to that Convention when the 1967 armed conflict broke out. The Court accordingly finds that that Convention is </w:t>
      </w:r>
      <w:r>
        <w:lastRenderedPageBreak/>
        <w:t>applicable in the Palestinian territories which before the conflict lay to the east of the Green Line and which, during that conflict, were occupied by Israel, there being no need for any enquiry into the precise prior status of those territories.</w:t>
      </w:r>
    </w:p>
    <w:p w:rsidR="008201E1" w:rsidRDefault="008201E1" w:rsidP="008201E1">
      <w:pPr>
        <w:pStyle w:val="NoSpacing"/>
      </w:pPr>
    </w:p>
    <w:p w:rsidR="001C75F3" w:rsidRDefault="001C75F3" w:rsidP="001C75F3">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1C75F3" w:rsidRPr="008201E1" w:rsidRDefault="001C75F3" w:rsidP="008201E1">
      <w:pPr>
        <w:autoSpaceDE w:val="0"/>
        <w:autoSpaceDN w:val="0"/>
        <w:adjustRightInd w:val="0"/>
        <w:spacing w:after="0" w:line="240" w:lineRule="auto"/>
        <w:rPr>
          <w:rFonts w:cs="Comic_Sans_MS"/>
          <w:i/>
        </w:rPr>
      </w:pPr>
      <w:r w:rsidRPr="008201E1">
        <w:rPr>
          <w:rFonts w:cs="Comic_Sans_MS"/>
          <w:i/>
        </w:rPr>
        <w:t xml:space="preserve">Read the case of Prosecutor v </w:t>
      </w:r>
      <w:proofErr w:type="spellStart"/>
      <w:r w:rsidRPr="008201E1">
        <w:rPr>
          <w:rFonts w:cs="Comic_Sans_MS"/>
          <w:i/>
        </w:rPr>
        <w:t>Tadic</w:t>
      </w:r>
      <w:proofErr w:type="spellEnd"/>
      <w:r w:rsidRPr="008201E1">
        <w:rPr>
          <w:rFonts w:cs="Comic_Sans_MS"/>
          <w:i/>
        </w:rPr>
        <w:t xml:space="preserve"> (Jurisdict</w:t>
      </w:r>
      <w:r w:rsidR="008201E1">
        <w:rPr>
          <w:rFonts w:cs="Comic_Sans_MS"/>
          <w:i/>
        </w:rPr>
        <w:t xml:space="preserve">ion), case number IT-94-1-AR 72 </w:t>
      </w:r>
      <w:r w:rsidRPr="008201E1">
        <w:rPr>
          <w:rFonts w:cs="Comic_Sans_MS"/>
          <w:i/>
        </w:rPr>
        <w:t xml:space="preserve">(1996) 35 ILM 32, and </w:t>
      </w:r>
      <w:proofErr w:type="spellStart"/>
      <w:r w:rsidRPr="008201E1">
        <w:rPr>
          <w:rFonts w:cs="Comic_Sans_MS"/>
          <w:i/>
        </w:rPr>
        <w:t>summarise</w:t>
      </w:r>
      <w:proofErr w:type="spellEnd"/>
      <w:r w:rsidRPr="008201E1">
        <w:rPr>
          <w:rFonts w:cs="Comic_Sans_MS"/>
          <w:i/>
        </w:rPr>
        <w:t xml:space="preserve"> the judgment,</w:t>
      </w:r>
      <w:r w:rsidR="008201E1">
        <w:rPr>
          <w:rFonts w:cs="Comic_Sans_MS"/>
          <w:i/>
        </w:rPr>
        <w:t xml:space="preserve"> focusing on the issue whether, </w:t>
      </w:r>
      <w:r w:rsidRPr="008201E1">
        <w:rPr>
          <w:rFonts w:cs="Comic_Sans_MS"/>
          <w:i/>
        </w:rPr>
        <w:t xml:space="preserve">and to what extent, humanitarian law applies to </w:t>
      </w:r>
      <w:r w:rsidR="008201E1">
        <w:rPr>
          <w:rFonts w:cs="Comic_Sans_MS"/>
          <w:i/>
        </w:rPr>
        <w:t xml:space="preserve">both internal and international </w:t>
      </w:r>
      <w:r w:rsidRPr="008201E1">
        <w:rPr>
          <w:rFonts w:cs="Comic_Sans_MS"/>
          <w:i/>
        </w:rPr>
        <w:t>armed conflict.</w:t>
      </w:r>
    </w:p>
    <w:p w:rsidR="001C75F3" w:rsidRDefault="001C75F3" w:rsidP="001C75F3">
      <w:pPr>
        <w:rPr>
          <w:rFonts w:ascii="Comic_Sans_MS" w:hAnsi="Comic_Sans_MS" w:cs="Comic_Sans_MS"/>
        </w:rPr>
      </w:pPr>
    </w:p>
    <w:p w:rsidR="008201E1" w:rsidRDefault="008201E1" w:rsidP="008201E1">
      <w:pPr>
        <w:pStyle w:val="NoSpacing"/>
      </w:pPr>
      <w:r>
        <w:t xml:space="preserve">While you must still read and </w:t>
      </w:r>
      <w:proofErr w:type="spellStart"/>
      <w:r>
        <w:t>summarise</w:t>
      </w:r>
      <w:proofErr w:type="spellEnd"/>
      <w:r>
        <w:t xml:space="preserve"> the judgment, we would like to draw your attention to the following remarks, made by the Appeals Chamber of the ICTY in the </w:t>
      </w:r>
      <w:proofErr w:type="spellStart"/>
      <w:r>
        <w:rPr>
          <w:i/>
          <w:iCs/>
        </w:rPr>
        <w:t>Tadić</w:t>
      </w:r>
      <w:proofErr w:type="spellEnd"/>
      <w:r>
        <w:rPr>
          <w:i/>
          <w:iCs/>
        </w:rPr>
        <w:t xml:space="preserve"> </w:t>
      </w:r>
      <w:r>
        <w:t xml:space="preserve">case regarding the application of humanitarian law to both internal and international armed conflict: </w:t>
      </w:r>
    </w:p>
    <w:p w:rsidR="008201E1" w:rsidRDefault="008201E1" w:rsidP="008201E1">
      <w:pPr>
        <w:pStyle w:val="NoSpacing"/>
      </w:pPr>
      <w:r>
        <w:t xml:space="preserve">Historically, international law treated the two classes of conflict in a markedly different way. The first class was interstate wars. They were regulated by a whole body of international legal rules, which governed both the conduct of hostilities and the protection of persons not participating (or no longer participating) therein, such as the civilians, the wounded, the sick, shipwrecked, prisoners of war. However, there were very few international rules governing civil commotion, since internal strife such as rebellion, mutiny and treason were treated as being regulated by national criminal law. </w:t>
      </w:r>
    </w:p>
    <w:p w:rsidR="008201E1" w:rsidRDefault="008201E1" w:rsidP="008201E1">
      <w:pPr>
        <w:pStyle w:val="NoSpacing"/>
      </w:pPr>
      <w:r>
        <w:t xml:space="preserve">Since the 1930s, this distinction has gradually become more and more blurred, and international legal rules have increasingly emerged or have been agreed upon to regulate internal armed conflict. </w:t>
      </w:r>
    </w:p>
    <w:p w:rsidR="008201E1" w:rsidRDefault="008201E1" w:rsidP="008201E1">
      <w:pPr>
        <w:pStyle w:val="NoSpacing"/>
      </w:pPr>
      <w:r>
        <w:t xml:space="preserve">The tribunal cited various reasons for this development. For example, civil wars have become more frequent; they have also become more cruel and protracted; because of the increasing state interdependence, third States are finding it harder not to involve themselves in internal strife - either directly or indirectly; and of course the increasing importance of human rights protection and concern for the wellbeing of the people has also played a role in this development. </w:t>
      </w:r>
    </w:p>
    <w:p w:rsidR="008201E1" w:rsidRDefault="008201E1" w:rsidP="008201E1">
      <w:pPr>
        <w:pStyle w:val="NoSpacing"/>
      </w:pPr>
      <w:r>
        <w:t>The Tribunal further pointed out that the emergence of international rules governing internal strife has occurred at two different levels: at the level of customary law and the level of treaty law.</w:t>
      </w:r>
    </w:p>
    <w:p w:rsidR="008201E1" w:rsidRDefault="008201E1" w:rsidP="008201E1">
      <w:pPr>
        <w:pStyle w:val="NoSpacing"/>
      </w:pPr>
    </w:p>
    <w:p w:rsidR="008201E1" w:rsidRDefault="008201E1" w:rsidP="008201E1">
      <w:pPr>
        <w:pStyle w:val="NoSpacing"/>
      </w:pPr>
      <w:r>
        <w:t xml:space="preserve">The first rules that evolved were aimed at protecting the civilian population from the hostilities. For example: </w:t>
      </w:r>
    </w:p>
    <w:p w:rsidR="008201E1" w:rsidRDefault="008201E1" w:rsidP="008201E1">
      <w:pPr>
        <w:pStyle w:val="NoSpacing"/>
      </w:pPr>
      <w:r>
        <w:t xml:space="preserve">• The intentional bombing of civilian populations is illegal. </w:t>
      </w:r>
    </w:p>
    <w:p w:rsidR="008201E1" w:rsidRDefault="008201E1" w:rsidP="008201E1">
      <w:pPr>
        <w:pStyle w:val="NoSpacing"/>
      </w:pPr>
      <w:r>
        <w:t xml:space="preserve">• Objectives aimed at from the air must be legitimate military objectives and must be identifiable. </w:t>
      </w:r>
    </w:p>
    <w:p w:rsidR="008201E1" w:rsidRDefault="008201E1" w:rsidP="008201E1">
      <w:pPr>
        <w:pStyle w:val="NoSpacing"/>
      </w:pPr>
      <w:r>
        <w:t xml:space="preserve">• Any attack on legitimate military objectives must be carried out in such a way that civilian populations in the </w:t>
      </w:r>
      <w:proofErr w:type="spellStart"/>
      <w:r>
        <w:t>neighbourhood</w:t>
      </w:r>
      <w:proofErr w:type="spellEnd"/>
      <w:r>
        <w:t xml:space="preserve"> are </w:t>
      </w:r>
      <w:r>
        <w:t xml:space="preserve">not bombed through negligence. </w:t>
      </w:r>
    </w:p>
    <w:p w:rsidR="008201E1" w:rsidRDefault="008201E1" w:rsidP="008201E1">
      <w:pPr>
        <w:pStyle w:val="NoSpacing"/>
      </w:pPr>
    </w:p>
    <w:p w:rsidR="008201E1" w:rsidRDefault="008201E1" w:rsidP="008201E1">
      <w:pPr>
        <w:pStyle w:val="NoSpacing"/>
      </w:pPr>
      <w:r>
        <w:t xml:space="preserve">Subsequently, states have specified certain minimum rules applicable to internal armed conflicts in common Article 3 of the Geneva Conventions of 1949. These rules reflect "elementary considerations of humanity" which apply under customary international law to international and internal armed conflicts alike. </w:t>
      </w:r>
    </w:p>
    <w:p w:rsidR="008201E1" w:rsidRDefault="008201E1" w:rsidP="008201E1">
      <w:pPr>
        <w:pStyle w:val="NoSpacing"/>
      </w:pPr>
      <w:r>
        <w:t xml:space="preserve">Common Article 3 also contains an important procedural mechanism by virtue of which parties to internal conflicts may agree to abide by the rest of the Geneva Conventions. </w:t>
      </w:r>
      <w:proofErr w:type="gramStart"/>
      <w:r>
        <w:t>As the Tribunal explains: “Agreements made pursuant to common Article 3 are not the only vehicle through which international humanitarian law has been brought to bear on internal armed conflicts.</w:t>
      </w:r>
      <w:proofErr w:type="gramEnd"/>
      <w:r>
        <w:t xml:space="preserve"> In several cases reflecting customary adherence to basic principles in internal conflicts, the warring parties have unilaterally committed to abide by international humanitarian law.” </w:t>
      </w:r>
    </w:p>
    <w:p w:rsidR="008201E1" w:rsidRDefault="008201E1" w:rsidP="008201E1">
      <w:pPr>
        <w:pStyle w:val="NoSpacing"/>
      </w:pPr>
      <w:r>
        <w:t xml:space="preserve">Another important instrument is Additional Protocol II to the Geneva Conventions. The Tribunal observed that “[m]any provisions of this Protocol can now be regarded as declaratory of existing rules or as having </w:t>
      </w:r>
      <w:proofErr w:type="spellStart"/>
      <w:r>
        <w:t>crystallised</w:t>
      </w:r>
      <w:proofErr w:type="spellEnd"/>
      <w:r>
        <w:t xml:space="preserve"> emerging rules of customary law or else as having been strongly instrumental in their evolution as general principles.” </w:t>
      </w:r>
    </w:p>
    <w:p w:rsidR="008201E1" w:rsidRDefault="008201E1" w:rsidP="008201E1">
      <w:pPr>
        <w:pStyle w:val="NoSpacing"/>
      </w:pPr>
      <w:r>
        <w:t xml:space="preserve">We have mentioned that the general rules designed to protect those who are not taking active part in hostilities have gradually become applicable in situations of internal strife. The same extension is evident in the rules dealing with the protection of civilian objects and cultural property. Furthermore, there has been an extension of the rules and principles governing the means and methods of warfare: those proscribed in international armed conflict are banned in situations of internal conflicts as well. </w:t>
      </w:r>
    </w:p>
    <w:p w:rsidR="008201E1" w:rsidRDefault="008201E1" w:rsidP="008201E1">
      <w:pPr>
        <w:pStyle w:val="NoSpacing"/>
      </w:pPr>
      <w:r>
        <w:t xml:space="preserve">However, the Tribunal qualified all of the above observations as follows: </w:t>
      </w:r>
    </w:p>
    <w:p w:rsidR="008201E1" w:rsidRDefault="008201E1" w:rsidP="008201E1">
      <w:pPr>
        <w:pStyle w:val="NoSpacing"/>
      </w:pPr>
      <w:r>
        <w:lastRenderedPageBreak/>
        <w:t xml:space="preserve">The emergence of the aforementioned general rules on internal armed conflicts does not imply that internal strife is regulated by general international law in all its aspects. Two particular limitations may be noted: </w:t>
      </w:r>
    </w:p>
    <w:p w:rsidR="008201E1" w:rsidRDefault="008201E1" w:rsidP="008201E1">
      <w:pPr>
        <w:pStyle w:val="NoSpacing"/>
      </w:pPr>
      <w:r>
        <w:t>(</w:t>
      </w:r>
      <w:proofErr w:type="spellStart"/>
      <w:r>
        <w:t>i</w:t>
      </w:r>
      <w:proofErr w:type="spellEnd"/>
      <w:r>
        <w:t xml:space="preserve">) </w:t>
      </w:r>
      <w:proofErr w:type="gramStart"/>
      <w:r>
        <w:t>only</w:t>
      </w:r>
      <w:proofErr w:type="gramEnd"/>
      <w:r>
        <w:t xml:space="preserve"> a number of rules and principles governing international armed conflicts have gradually been extended to apply to internal conflicts; and </w:t>
      </w:r>
    </w:p>
    <w:p w:rsidR="008201E1" w:rsidRDefault="008201E1" w:rsidP="008201E1">
      <w:pPr>
        <w:pStyle w:val="NoSpacing"/>
      </w:pPr>
      <w:r>
        <w:t xml:space="preserve">(ii) </w:t>
      </w:r>
      <w:proofErr w:type="gramStart"/>
      <w:r>
        <w:t>this</w:t>
      </w:r>
      <w:proofErr w:type="gramEnd"/>
      <w:r>
        <w:t xml:space="preserve"> extension has not taken place in the form of a full and mechanical transplant of those rules to internal conflicts; rather, the general essence of those rules, and not the detailed regulation they may contain, has become applicable to internal conflicts. </w:t>
      </w:r>
    </w:p>
    <w:p w:rsidR="008201E1" w:rsidRDefault="008201E1" w:rsidP="008201E1">
      <w:pPr>
        <w:pStyle w:val="NoSpacing"/>
      </w:pPr>
    </w:p>
    <w:p w:rsidR="008201E1" w:rsidRDefault="008201E1" w:rsidP="008201E1">
      <w:pPr>
        <w:pStyle w:val="NoSpacing"/>
      </w:pPr>
    </w:p>
    <w:p w:rsidR="001C75F3" w:rsidRDefault="001C75F3" w:rsidP="001C75F3">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1C75F3" w:rsidRPr="008201E1" w:rsidRDefault="001C75F3" w:rsidP="008201E1">
      <w:pPr>
        <w:autoSpaceDE w:val="0"/>
        <w:autoSpaceDN w:val="0"/>
        <w:adjustRightInd w:val="0"/>
        <w:spacing w:after="0" w:line="240" w:lineRule="auto"/>
        <w:rPr>
          <w:rFonts w:cs="Comic_Sans_MS"/>
          <w:i/>
        </w:rPr>
      </w:pPr>
      <w:r w:rsidRPr="008201E1">
        <w:rPr>
          <w:rFonts w:cs="Comic_Sans_MS"/>
          <w:i/>
        </w:rPr>
        <w:t>The United States has refused to treat</w:t>
      </w:r>
      <w:r w:rsidR="008201E1">
        <w:rPr>
          <w:rFonts w:cs="Comic_Sans_MS"/>
          <w:i/>
        </w:rPr>
        <w:t xml:space="preserve"> Taliban combatants captured in </w:t>
      </w:r>
      <w:r w:rsidRPr="008201E1">
        <w:rPr>
          <w:rFonts w:cs="Comic_Sans_MS"/>
          <w:i/>
        </w:rPr>
        <w:t xml:space="preserve">Afghanistan (and detained in Guantanamo Bay) as </w:t>
      </w:r>
      <w:r w:rsidR="008201E1">
        <w:rPr>
          <w:rFonts w:cs="Comic_Sans_MS"/>
          <w:i/>
        </w:rPr>
        <w:t xml:space="preserve">prisoners of war. Would this be </w:t>
      </w:r>
      <w:r w:rsidRPr="008201E1">
        <w:rPr>
          <w:rFonts w:cs="Comic_Sans_MS"/>
          <w:i/>
        </w:rPr>
        <w:t>in line with the principles of humanitarian law? E</w:t>
      </w:r>
      <w:r w:rsidR="008201E1">
        <w:rPr>
          <w:rFonts w:cs="Comic_Sans_MS"/>
          <w:i/>
        </w:rPr>
        <w:t xml:space="preserve">xplain why/ why not. Would your </w:t>
      </w:r>
      <w:r w:rsidRPr="008201E1">
        <w:rPr>
          <w:rFonts w:cs="Comic_Sans_MS"/>
          <w:i/>
        </w:rPr>
        <w:t>answer differ if you had to apply those principles to t</w:t>
      </w:r>
      <w:r w:rsidR="008201E1">
        <w:rPr>
          <w:rFonts w:cs="Comic_Sans_MS"/>
          <w:i/>
        </w:rPr>
        <w:t xml:space="preserve">he same attitude adopted </w:t>
      </w:r>
      <w:r w:rsidRPr="008201E1">
        <w:rPr>
          <w:rFonts w:cs="Comic_Sans_MS"/>
          <w:i/>
        </w:rPr>
        <w:t xml:space="preserve">by the United States towards members of Al </w:t>
      </w:r>
      <w:r w:rsidR="008201E1" w:rsidRPr="008201E1">
        <w:rPr>
          <w:rFonts w:cs="Comic_Sans_MS"/>
          <w:i/>
        </w:rPr>
        <w:t>Qaeda</w:t>
      </w:r>
      <w:r w:rsidRPr="008201E1">
        <w:rPr>
          <w:rFonts w:cs="Comic_Sans_MS"/>
          <w:i/>
        </w:rPr>
        <w:t>?</w:t>
      </w:r>
    </w:p>
    <w:p w:rsidR="008201E1" w:rsidRDefault="008201E1" w:rsidP="008201E1">
      <w:pPr>
        <w:pStyle w:val="NoSpacing"/>
        <w:rPr>
          <w:rFonts w:ascii="Comic_Sans_MS" w:hAnsi="Comic_Sans_MS" w:cs="Comic_Sans_MS"/>
        </w:rPr>
      </w:pPr>
    </w:p>
    <w:p w:rsidR="008201E1" w:rsidRPr="008201E1" w:rsidRDefault="008201E1" w:rsidP="008201E1">
      <w:pPr>
        <w:pStyle w:val="NoSpacing"/>
      </w:pPr>
      <w:r w:rsidRPr="008201E1">
        <w:t>The conduct of the United States with respect to the Taliban combatants is not consistent with international humanitarian law. You should remember that article 44 of Additional Protocol I of 1977 stipulates that combatants are under an obligation to distinguish themselves from the civilian population, and if they are unable to do so, they must carry their arms openly (while engaging in hostilities, or preparing for them, of course). This is important, because as long as they do so they are entitled to retain the status of combatants. Should they be captured, they must be treated as POWs. In addition, the Third Geneva Convention provides that persons who take part in hostilities and are then captured must be presumed to be POWs, at least until their status has been determined by a competent tribunal. As members of the Afghan armed forces, the Taliban combatants were entitled to POW status and all the protection associated with it. However, this is not the position of members of Al Qaeda. The latter cannot be considered combatants – they are civilians who engage in criminal activities.</w:t>
      </w:r>
    </w:p>
    <w:p w:rsidR="008201E1" w:rsidRDefault="008201E1" w:rsidP="008201E1">
      <w:pPr>
        <w:pStyle w:val="NoSpacing"/>
      </w:pPr>
    </w:p>
    <w:p w:rsidR="001C75F3" w:rsidRDefault="001C75F3" w:rsidP="001C75F3">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1C75F3" w:rsidRPr="008201E1" w:rsidRDefault="001C75F3" w:rsidP="008201E1">
      <w:pPr>
        <w:autoSpaceDE w:val="0"/>
        <w:autoSpaceDN w:val="0"/>
        <w:adjustRightInd w:val="0"/>
        <w:spacing w:after="0" w:line="240" w:lineRule="auto"/>
        <w:rPr>
          <w:rFonts w:cs="Comic_Sans_MS"/>
          <w:i/>
        </w:rPr>
      </w:pPr>
      <w:r w:rsidRPr="008201E1">
        <w:rPr>
          <w:rFonts w:cs="Comic_Sans_MS"/>
          <w:i/>
        </w:rPr>
        <w:t>Write an essay discussing the significance of th</w:t>
      </w:r>
      <w:r w:rsidR="008201E1">
        <w:rPr>
          <w:rFonts w:cs="Comic_Sans_MS"/>
          <w:i/>
        </w:rPr>
        <w:t xml:space="preserve">e distinction between civilians </w:t>
      </w:r>
      <w:r w:rsidRPr="008201E1">
        <w:rPr>
          <w:rFonts w:cs="Comic_Sans_MS"/>
          <w:i/>
        </w:rPr>
        <w:t>and combatants during the conduct of hostilities.</w:t>
      </w:r>
    </w:p>
    <w:p w:rsidR="001C75F3" w:rsidRDefault="001C75F3" w:rsidP="001C75F3">
      <w:pPr>
        <w:rPr>
          <w:rFonts w:ascii="Comic_Sans_MS" w:hAnsi="Comic_Sans_MS" w:cs="Comic_Sans_MS"/>
        </w:rPr>
      </w:pPr>
    </w:p>
    <w:p w:rsidR="008201E1" w:rsidRDefault="008201E1" w:rsidP="008201E1">
      <w:pPr>
        <w:pStyle w:val="NoSpacing"/>
      </w:pPr>
      <w:r>
        <w:t xml:space="preserve">You have probably guessed the answer to this activity, so we will not say too much here. We will, however, provide you with the most important points that should be included in your essay. If you tried to answer this question (or plan to do so in future), and are uncertain what to write, please do not hesitate to contact us. We are also willing to read through any draft answer you may have prepared. </w:t>
      </w:r>
    </w:p>
    <w:p w:rsidR="008201E1" w:rsidRDefault="008201E1" w:rsidP="008201E1">
      <w:pPr>
        <w:pStyle w:val="NoSpacing"/>
      </w:pPr>
      <w:r>
        <w:t xml:space="preserve">In a nutshell, it is important to distinguish between the two. </w:t>
      </w:r>
    </w:p>
    <w:p w:rsidR="008201E1" w:rsidRDefault="008201E1" w:rsidP="008201E1">
      <w:pPr>
        <w:pStyle w:val="NoSpacing"/>
      </w:pPr>
      <w:r>
        <w:t xml:space="preserve">Combatants are: </w:t>
      </w:r>
    </w:p>
    <w:p w:rsidR="008201E1" w:rsidRDefault="008201E1" w:rsidP="008201E1">
      <w:pPr>
        <w:pStyle w:val="NoSpacing"/>
      </w:pPr>
      <w:r>
        <w:t xml:space="preserve">• </w:t>
      </w:r>
      <w:proofErr w:type="gramStart"/>
      <w:r>
        <w:t>legitimate</w:t>
      </w:r>
      <w:proofErr w:type="gramEnd"/>
      <w:r>
        <w:t xml:space="preserve"> targets during armed conflict </w:t>
      </w:r>
    </w:p>
    <w:p w:rsidR="008201E1" w:rsidRDefault="008201E1" w:rsidP="008201E1">
      <w:pPr>
        <w:pStyle w:val="NoSpacing"/>
      </w:pPr>
      <w:r>
        <w:t xml:space="preserve">• entitled to engage in such a conflict </w:t>
      </w:r>
    </w:p>
    <w:p w:rsidR="008201E1" w:rsidRDefault="008201E1" w:rsidP="008201E1">
      <w:pPr>
        <w:pStyle w:val="NoSpacing"/>
      </w:pPr>
      <w:r>
        <w:t xml:space="preserve">• entitled to prisoner-of-war status when captured. </w:t>
      </w:r>
    </w:p>
    <w:p w:rsidR="008201E1" w:rsidRDefault="008201E1" w:rsidP="008201E1">
      <w:pPr>
        <w:pStyle w:val="NoSpacing"/>
      </w:pPr>
      <w:r>
        <w:t xml:space="preserve">Combatants are obliged to distinguish themselves from the civilian population if they want to retain the status of combatants. </w:t>
      </w:r>
    </w:p>
    <w:p w:rsidR="008201E1" w:rsidRDefault="008201E1" w:rsidP="008201E1">
      <w:pPr>
        <w:pStyle w:val="NoSpacing"/>
      </w:pPr>
      <w:r>
        <w:t xml:space="preserve">Civilians, on the other hand, may not be targeted during armed conflict. If an attack is likely to cause civilian casualties that are not proportionate to the expected military advantage, then even military objects may not be attacked. Furthermore, civilians may not engage in armed conflict. If they do so, they are liable to be punished as criminals. </w:t>
      </w:r>
    </w:p>
    <w:p w:rsidR="008201E1" w:rsidRDefault="008201E1" w:rsidP="008201E1">
      <w:pPr>
        <w:pStyle w:val="NoSpacing"/>
      </w:pPr>
      <w:r>
        <w:t xml:space="preserve">You are expected to expand on, or add to, the abovementioned basic principles, using the rules of the law of The Hague and the law of Geneva (which are described on pp 131-135 of your study guide and will not be repeated here). Some of the issues that should be discussed further include: </w:t>
      </w:r>
    </w:p>
    <w:p w:rsidR="008201E1" w:rsidRDefault="008201E1" w:rsidP="008201E1">
      <w:pPr>
        <w:pStyle w:val="NoSpacing"/>
      </w:pPr>
      <w:r>
        <w:t xml:space="preserve">• What is the definition of belligerents? </w:t>
      </w:r>
    </w:p>
    <w:p w:rsidR="008201E1" w:rsidRDefault="008201E1" w:rsidP="008201E1">
      <w:pPr>
        <w:pStyle w:val="NoSpacing"/>
      </w:pPr>
      <w:r>
        <w:t xml:space="preserve">• Are non-combatants, who form part of the armed forces of belligerent parties, entitled to prisoner-of-war status? </w:t>
      </w:r>
    </w:p>
    <w:p w:rsidR="008201E1" w:rsidRDefault="008201E1" w:rsidP="008201E1">
      <w:pPr>
        <w:pStyle w:val="NoSpacing"/>
      </w:pPr>
      <w:r>
        <w:t xml:space="preserve">• How should prisoners of war be treated? </w:t>
      </w:r>
    </w:p>
    <w:p w:rsidR="008201E1" w:rsidRDefault="008201E1" w:rsidP="008201E1">
      <w:pPr>
        <w:pStyle w:val="NoSpacing"/>
      </w:pPr>
      <w:r>
        <w:lastRenderedPageBreak/>
        <w:t xml:space="preserve">• How far does the right of belligerents to adopt any means of injuring the enemy extend? </w:t>
      </w:r>
    </w:p>
    <w:p w:rsidR="008201E1" w:rsidRDefault="008201E1" w:rsidP="008201E1">
      <w:pPr>
        <w:pStyle w:val="NoSpacing"/>
      </w:pPr>
      <w:r>
        <w:t xml:space="preserve">• What happens if an armistice is violated by a private person? </w:t>
      </w:r>
    </w:p>
    <w:p w:rsidR="008201E1" w:rsidRDefault="008201E1" w:rsidP="008201E1">
      <w:pPr>
        <w:pStyle w:val="NoSpacing"/>
      </w:pPr>
      <w:r>
        <w:t xml:space="preserve">• How should military authority be exercised over the territory of an occupied state? </w:t>
      </w:r>
    </w:p>
    <w:p w:rsidR="008201E1" w:rsidRDefault="008201E1" w:rsidP="008201E1">
      <w:pPr>
        <w:pStyle w:val="NoSpacing"/>
      </w:pPr>
      <w:r>
        <w:t>• How is the civilian population protected during wartime?</w:t>
      </w:r>
    </w:p>
    <w:p w:rsidR="008201E1" w:rsidRDefault="008201E1" w:rsidP="001C75F3">
      <w:pPr>
        <w:rPr>
          <w:rFonts w:ascii="Comic_Sans_MS" w:hAnsi="Comic_Sans_MS" w:cs="Comic_Sans_MS"/>
        </w:rPr>
      </w:pPr>
    </w:p>
    <w:p w:rsidR="001C75F3" w:rsidRDefault="001C75F3" w:rsidP="001C75F3">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8201E1" w:rsidRDefault="001C75F3" w:rsidP="001C75F3">
      <w:pPr>
        <w:autoSpaceDE w:val="0"/>
        <w:autoSpaceDN w:val="0"/>
        <w:adjustRightInd w:val="0"/>
        <w:spacing w:after="0" w:line="240" w:lineRule="auto"/>
        <w:rPr>
          <w:rFonts w:cs="Comic_Sans_MS"/>
          <w:i/>
        </w:rPr>
      </w:pPr>
      <w:r w:rsidRPr="008201E1">
        <w:rPr>
          <w:rFonts w:cs="Comic_Sans_MS"/>
          <w:i/>
        </w:rPr>
        <w:t xml:space="preserve">State A and state B are </w:t>
      </w:r>
      <w:proofErr w:type="spellStart"/>
      <w:r w:rsidRPr="008201E1">
        <w:rPr>
          <w:rFonts w:cs="Comic_Sans_MS"/>
          <w:i/>
        </w:rPr>
        <w:t>neighbouring</w:t>
      </w:r>
      <w:proofErr w:type="spellEnd"/>
      <w:r w:rsidRPr="008201E1">
        <w:rPr>
          <w:rFonts w:cs="Comic_Sans_MS"/>
          <w:i/>
        </w:rPr>
        <w:t xml:space="preserve"> states th</w:t>
      </w:r>
      <w:r w:rsidR="008201E1">
        <w:rPr>
          <w:rFonts w:cs="Comic_Sans_MS"/>
          <w:i/>
        </w:rPr>
        <w:t xml:space="preserve">at have been at loggerheads for </w:t>
      </w:r>
      <w:r w:rsidRPr="008201E1">
        <w:rPr>
          <w:rFonts w:cs="Comic_Sans_MS"/>
          <w:i/>
        </w:rPr>
        <w:t>years. The government of state B is intimidated b</w:t>
      </w:r>
      <w:r w:rsidR="008201E1">
        <w:rPr>
          <w:rFonts w:cs="Comic_Sans_MS"/>
          <w:i/>
        </w:rPr>
        <w:t xml:space="preserve">y state A’s continued ‘‘gunboat </w:t>
      </w:r>
      <w:r w:rsidRPr="008201E1">
        <w:rPr>
          <w:rFonts w:cs="Comic_Sans_MS"/>
          <w:i/>
        </w:rPr>
        <w:t xml:space="preserve">diplomacy’’. The latter is clearly manifested in </w:t>
      </w:r>
      <w:r w:rsidR="008201E1">
        <w:rPr>
          <w:rFonts w:cs="Comic_Sans_MS"/>
          <w:i/>
        </w:rPr>
        <w:t xml:space="preserve">the continued presence of armed </w:t>
      </w:r>
      <w:r w:rsidRPr="008201E1">
        <w:rPr>
          <w:rFonts w:cs="Comic_Sans_MS"/>
          <w:i/>
        </w:rPr>
        <w:t>forces at the border, which, in state B’s o</w:t>
      </w:r>
      <w:r w:rsidR="008201E1">
        <w:rPr>
          <w:rFonts w:cs="Comic_Sans_MS"/>
          <w:i/>
        </w:rPr>
        <w:t xml:space="preserve">pinion, is way beyond state A’s </w:t>
      </w:r>
      <w:r w:rsidRPr="008201E1">
        <w:rPr>
          <w:rFonts w:cs="Comic_Sans_MS"/>
          <w:i/>
        </w:rPr>
        <w:t xml:space="preserve">reasonable </w:t>
      </w:r>
      <w:proofErr w:type="spellStart"/>
      <w:r w:rsidRPr="008201E1">
        <w:rPr>
          <w:rFonts w:cs="Comic_Sans_MS"/>
          <w:i/>
        </w:rPr>
        <w:t>defence</w:t>
      </w:r>
      <w:proofErr w:type="spellEnd"/>
      <w:r w:rsidRPr="008201E1">
        <w:rPr>
          <w:rFonts w:cs="Comic_Sans_MS"/>
          <w:i/>
        </w:rPr>
        <w:t xml:space="preserve"> requirements. The con</w:t>
      </w:r>
      <w:r w:rsidR="008201E1">
        <w:rPr>
          <w:rFonts w:cs="Comic_Sans_MS"/>
          <w:i/>
        </w:rPr>
        <w:t xml:space="preserve">tinued deployment of troops and </w:t>
      </w:r>
      <w:r w:rsidRPr="008201E1">
        <w:rPr>
          <w:rFonts w:cs="Comic_Sans_MS"/>
          <w:i/>
        </w:rPr>
        <w:t xml:space="preserve">acquisition of chemical weapons unnerve state B. </w:t>
      </w:r>
      <w:r w:rsidR="008201E1">
        <w:rPr>
          <w:rFonts w:cs="Comic_Sans_MS"/>
          <w:i/>
        </w:rPr>
        <w:t xml:space="preserve">State A’s actions are perceived </w:t>
      </w:r>
      <w:r w:rsidRPr="008201E1">
        <w:rPr>
          <w:rFonts w:cs="Comic_Sans_MS"/>
          <w:i/>
        </w:rPr>
        <w:t>as hostile and state B decides it is time to launc</w:t>
      </w:r>
      <w:r w:rsidR="008201E1">
        <w:rPr>
          <w:rFonts w:cs="Comic_Sans_MS"/>
          <w:i/>
        </w:rPr>
        <w:t xml:space="preserve">h a pre-emptive strike. </w:t>
      </w:r>
    </w:p>
    <w:p w:rsidR="001C75F3" w:rsidRPr="008201E1" w:rsidRDefault="008201E1" w:rsidP="001C75F3">
      <w:pPr>
        <w:autoSpaceDE w:val="0"/>
        <w:autoSpaceDN w:val="0"/>
        <w:adjustRightInd w:val="0"/>
        <w:spacing w:after="0" w:line="240" w:lineRule="auto"/>
        <w:rPr>
          <w:rFonts w:cs="Comic_Sans_MS"/>
          <w:i/>
        </w:rPr>
      </w:pPr>
      <w:r>
        <w:rPr>
          <w:rFonts w:cs="Comic_Sans_MS"/>
          <w:i/>
        </w:rPr>
        <w:t xml:space="preserve">State B </w:t>
      </w:r>
      <w:r w:rsidR="001C75F3" w:rsidRPr="008201E1">
        <w:rPr>
          <w:rFonts w:cs="Comic_Sans_MS"/>
          <w:i/>
        </w:rPr>
        <w:t>bombards the area at the border and its surroun</w:t>
      </w:r>
      <w:r>
        <w:rPr>
          <w:rFonts w:cs="Comic_Sans_MS"/>
          <w:i/>
        </w:rPr>
        <w:t xml:space="preserve">dings. Roads, bridges and towns </w:t>
      </w:r>
      <w:r w:rsidR="001C75F3" w:rsidRPr="008201E1">
        <w:rPr>
          <w:rFonts w:cs="Comic_Sans_MS"/>
          <w:i/>
        </w:rPr>
        <w:t>are destroyed. Many of state A’s civilians, includ</w:t>
      </w:r>
      <w:r>
        <w:rPr>
          <w:rFonts w:cs="Comic_Sans_MS"/>
          <w:i/>
        </w:rPr>
        <w:t xml:space="preserve">ing a number of women, children </w:t>
      </w:r>
      <w:r w:rsidR="001C75F3" w:rsidRPr="008201E1">
        <w:rPr>
          <w:rFonts w:cs="Comic_Sans_MS"/>
          <w:i/>
        </w:rPr>
        <w:t>and old people, are killed. Although state B distr</w:t>
      </w:r>
      <w:r>
        <w:rPr>
          <w:rFonts w:cs="Comic_Sans_MS"/>
          <w:i/>
        </w:rPr>
        <w:t xml:space="preserve">ibutes pamphlets urging members </w:t>
      </w:r>
      <w:r w:rsidR="001C75F3" w:rsidRPr="008201E1">
        <w:rPr>
          <w:rFonts w:cs="Comic_Sans_MS"/>
          <w:i/>
        </w:rPr>
        <w:t>of the civilian population to leave, they do not have</w:t>
      </w:r>
      <w:r>
        <w:rPr>
          <w:rFonts w:cs="Comic_Sans_MS"/>
          <w:i/>
        </w:rPr>
        <w:t xml:space="preserve"> enough time to evacuate their </w:t>
      </w:r>
      <w:r w:rsidR="001C75F3" w:rsidRPr="008201E1">
        <w:rPr>
          <w:rFonts w:cs="Comic_Sans_MS"/>
          <w:i/>
        </w:rPr>
        <w:t>homes and many consequently perish during the attacks.</w:t>
      </w:r>
    </w:p>
    <w:p w:rsidR="008201E1" w:rsidRDefault="008201E1" w:rsidP="001C75F3">
      <w:pPr>
        <w:rPr>
          <w:rFonts w:cs="Comic_Sans_MS"/>
          <w:i/>
        </w:rPr>
      </w:pPr>
    </w:p>
    <w:p w:rsidR="001C75F3" w:rsidRDefault="001C75F3" w:rsidP="001C75F3">
      <w:pPr>
        <w:rPr>
          <w:rFonts w:cs="Comic_Sans_MS"/>
          <w:i/>
        </w:rPr>
      </w:pPr>
      <w:r w:rsidRPr="008201E1">
        <w:rPr>
          <w:rFonts w:cs="Comic_Sans_MS"/>
          <w:i/>
        </w:rPr>
        <w:t>Evaluate state B’s actions in the light of what you have learnt from this topic.</w:t>
      </w:r>
    </w:p>
    <w:p w:rsidR="008201E1" w:rsidRDefault="008201E1" w:rsidP="008201E1">
      <w:pPr>
        <w:pStyle w:val="NoSpacing"/>
      </w:pPr>
      <w:r>
        <w:t xml:space="preserve">Only states which have become parties to international conventions and their protocols incur obligations in terms of their provisions, but those rules of humanitarian law which form part of customary international law bind all. The Hague Regulations can be regarded as forming part of customary international law. The four Geneva Conventions have been accepted by 192 states and for the purposes of this activity we can accept that states A and B are parties to these Conventions. (Note, however, that the Additional Protocols have been accepted by fewer states.) </w:t>
      </w:r>
    </w:p>
    <w:p w:rsidR="008201E1" w:rsidRDefault="008201E1" w:rsidP="008201E1">
      <w:pPr>
        <w:pStyle w:val="NoSpacing"/>
      </w:pPr>
    </w:p>
    <w:p w:rsidR="008201E1" w:rsidRDefault="008201E1" w:rsidP="008201E1">
      <w:pPr>
        <w:pStyle w:val="NoSpacing"/>
      </w:pPr>
      <w:r>
        <w:t xml:space="preserve">In this evaluation, the basic premise is that: </w:t>
      </w:r>
    </w:p>
    <w:p w:rsidR="008201E1" w:rsidRDefault="008201E1" w:rsidP="008201E1">
      <w:pPr>
        <w:pStyle w:val="NoSpacing"/>
      </w:pPr>
      <w:r>
        <w:t xml:space="preserve">• Belligerents must always distinguish between combatants and civilians. </w:t>
      </w:r>
    </w:p>
    <w:p w:rsidR="008201E1" w:rsidRDefault="008201E1" w:rsidP="008201E1">
      <w:pPr>
        <w:pStyle w:val="NoSpacing"/>
      </w:pPr>
      <w:r>
        <w:t xml:space="preserve">• Combatants and military objects can legitimately be subjected to an attack, while civilians and civilian objects may not. </w:t>
      </w:r>
    </w:p>
    <w:p w:rsidR="008201E1" w:rsidRDefault="008201E1" w:rsidP="008201E1">
      <w:pPr>
        <w:pStyle w:val="NoSpacing"/>
      </w:pPr>
      <w:r>
        <w:t xml:space="preserve">• Whatever the circumstances, precautions must always be taken to ensure that any harm caused to civilians and a civilian object is minimal (if it cannot be avoided altogether). </w:t>
      </w:r>
    </w:p>
    <w:p w:rsidR="008201E1" w:rsidRDefault="008201E1" w:rsidP="008201E1">
      <w:pPr>
        <w:pStyle w:val="NoSpacing"/>
      </w:pPr>
      <w:r>
        <w:t xml:space="preserve">If state B has established a zone in which it exercises control (a buffer zone) it would be considered to be an occupying power. The terms of the Fourth Geneva Convention (Relative to the Protection of Civilian Persons in Time of War) would therefore apply and state B must comply with the duties enumerated therein. </w:t>
      </w:r>
    </w:p>
    <w:p w:rsidR="008201E1" w:rsidRDefault="008201E1" w:rsidP="008201E1">
      <w:pPr>
        <w:pStyle w:val="NoSpacing"/>
      </w:pPr>
      <w:r>
        <w:t xml:space="preserve">For example, state B must protect the civilian population from harm caused by the </w:t>
      </w:r>
      <w:proofErr w:type="gramStart"/>
      <w:r>
        <w:t>hostilities,</w:t>
      </w:r>
      <w:proofErr w:type="gramEnd"/>
      <w:r>
        <w:t xml:space="preserve"> must not mistreat them (see p 134) and must provide for the population’s humanitarian needs. These would include access to, for example, food, medical supplies and functioning hospitals. The facts in our case do not indicate that state B has indeed taken such steps. </w:t>
      </w:r>
    </w:p>
    <w:p w:rsidR="008201E1" w:rsidRDefault="008201E1" w:rsidP="008201E1">
      <w:pPr>
        <w:pStyle w:val="NoSpacing"/>
      </w:pPr>
      <w:r>
        <w:t xml:space="preserve">With respect to the attacks undertaken by state B, as we have said above, civilian objects cannot be targeted. Civilian objects would include homes, places of worship, hospitals, schools, etc. This would hold true </w:t>
      </w:r>
      <w:r>
        <w:rPr>
          <w:i/>
          <w:iCs/>
        </w:rPr>
        <w:t xml:space="preserve">unless </w:t>
      </w:r>
      <w:r>
        <w:t xml:space="preserve">these objects are used for military purposes. Military objects, and/or civilian objects used for military purposes, can be subjected to a legitimate attack only if: </w:t>
      </w:r>
    </w:p>
    <w:p w:rsidR="008201E1" w:rsidRDefault="008201E1" w:rsidP="008201E1">
      <w:pPr>
        <w:pStyle w:val="NoSpacing"/>
      </w:pPr>
      <w:r>
        <w:t xml:space="preserve">• </w:t>
      </w:r>
      <w:proofErr w:type="gramStart"/>
      <w:r>
        <w:t>these</w:t>
      </w:r>
      <w:proofErr w:type="gramEnd"/>
      <w:r>
        <w:t xml:space="preserve"> objects make an effective contribution to the military activities of the enemy; and </w:t>
      </w:r>
    </w:p>
    <w:p w:rsidR="008201E1" w:rsidRDefault="008201E1" w:rsidP="008201E1">
      <w:pPr>
        <w:pStyle w:val="NoSpacing"/>
      </w:pPr>
      <w:r>
        <w:t xml:space="preserve">• </w:t>
      </w:r>
      <w:proofErr w:type="gramStart"/>
      <w:r>
        <w:t>their</w:t>
      </w:r>
      <w:proofErr w:type="gramEnd"/>
      <w:r>
        <w:t xml:space="preserve"> destruction or </w:t>
      </w:r>
      <w:proofErr w:type="spellStart"/>
      <w:r>
        <w:t>neutralisation</w:t>
      </w:r>
      <w:proofErr w:type="spellEnd"/>
      <w:r>
        <w:t xml:space="preserve"> would offer the attacker a definite military advantage. </w:t>
      </w:r>
    </w:p>
    <w:p w:rsidR="008201E1" w:rsidRDefault="008201E1" w:rsidP="008201E1">
      <w:pPr>
        <w:pStyle w:val="NoSpacing"/>
      </w:pPr>
      <w:r>
        <w:t xml:space="preserve">The destroyed towns (including civilian homes, schools, </w:t>
      </w:r>
      <w:proofErr w:type="spellStart"/>
      <w:r>
        <w:t>etc</w:t>
      </w:r>
      <w:proofErr w:type="spellEnd"/>
      <w:r>
        <w:t>) do not appear to have been used for military purposes and in this regard state B has not complied with humanitarian law. On the other hand, it can be safely assumed that the destroyed roads and bridges could have been used for both civilian and military purposes. In this case State B should have considered the impact which the attack would have had on civilians and should have compared, or weighed that impact, against the military advantage it expected to have gained by the objects’ destruction. The principle of proportionality is always important: the attack must not be undertaken if the harm to civilians would be greater than the definite military advantage that state B would gain as a result.</w:t>
      </w:r>
    </w:p>
    <w:p w:rsidR="008201E1" w:rsidRDefault="008201E1" w:rsidP="008201E1">
      <w:pPr>
        <w:pStyle w:val="NoSpacing"/>
      </w:pPr>
      <w:r>
        <w:lastRenderedPageBreak/>
        <w:t xml:space="preserve">Although the question asks you to evaluate state B’s actions, note that state A must also take all necessary precautions to protect civilians against the dangers brought about by the conduct of the armed hostilities. State A must not locate military objects within a populated area and must not use the presence of civilians as a shield against an attack from state B. Even if state A has not complied with the aforementioned duties, state B must abstain from attacking if (as you would have guessed) the expected definite military advantage will cause too great a loss of civilian life. Lastly, state B cannot launch indiscriminate attacks (attacks targeting the entire area in which military objects are located). Instead, state B must target the specific military facilities within that area. On the facts, state B’s actions would appear to be illegal. </w:t>
      </w:r>
    </w:p>
    <w:p w:rsidR="008201E1" w:rsidRDefault="008201E1" w:rsidP="008201E1">
      <w:pPr>
        <w:pStyle w:val="NoSpacing"/>
      </w:pPr>
      <w:r>
        <w:t xml:space="preserve">Planned attacks (affecting civilians) must be preceded by an effective warning. State B seems to have shown an attempt at compliance, although what is “effective” depends on the circumstances. The warning must be timeous and due regard must be paid to the civilians’ ability to evacuate. State B has inflicted damage to roads and bridges, which would affect the civilian’s ability to evacuate. Nor do the “warnings” seem to be given timeously. Of course, this is a general remark and what is timeous and reasonable will be dictated by the particular conditions. </w:t>
      </w:r>
    </w:p>
    <w:p w:rsidR="008201E1" w:rsidRPr="008201E1" w:rsidRDefault="008201E1" w:rsidP="008201E1">
      <w:pPr>
        <w:pStyle w:val="NoSpacing"/>
      </w:pPr>
      <w:r>
        <w:t xml:space="preserve">But even if the civilians have been warned and they do not evacuate, state B is still under a duty to take all reasonable measures to avoid loss of civilian life and damage to civilian property. State B must cancel the attack if it is evident that the principle of proportionality, which we </w:t>
      </w:r>
      <w:bookmarkStart w:id="0" w:name="_GoBack"/>
      <w:bookmarkEnd w:id="0"/>
      <w:r>
        <w:t xml:space="preserve">have </w:t>
      </w:r>
      <w:proofErr w:type="spellStart"/>
      <w:r>
        <w:t>emphasised</w:t>
      </w:r>
      <w:proofErr w:type="spellEnd"/>
      <w:r>
        <w:t xml:space="preserve"> above, will not be met.</w:t>
      </w:r>
    </w:p>
    <w:sectPr w:rsidR="008201E1" w:rsidRPr="008201E1" w:rsidSect="00244FAB">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352" w:rsidRDefault="002A7352" w:rsidP="002A7352">
      <w:pPr>
        <w:spacing w:after="0" w:line="240" w:lineRule="auto"/>
      </w:pPr>
      <w:r>
        <w:separator/>
      </w:r>
    </w:p>
  </w:endnote>
  <w:endnote w:type="continuationSeparator" w:id="0">
    <w:p w:rsidR="002A7352" w:rsidRDefault="002A7352" w:rsidP="002A7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omic_Sans_MS_Bold">
    <w:panose1 w:val="00000000000000000000"/>
    <w:charset w:val="00"/>
    <w:family w:val="auto"/>
    <w:notTrueType/>
    <w:pitch w:val="default"/>
    <w:sig w:usb0="00000003" w:usb1="00000000" w:usb2="00000000" w:usb3="00000000" w:csb0="00000001" w:csb1="00000000"/>
  </w:font>
  <w:font w:name="Consolas_Bold_Italic">
    <w:panose1 w:val="00000000000000000000"/>
    <w:charset w:val="00"/>
    <w:family w:val="auto"/>
    <w:notTrueType/>
    <w:pitch w:val="default"/>
    <w:sig w:usb0="00000003" w:usb1="00000000" w:usb2="00000000" w:usb3="00000000" w:csb0="00000001" w:csb1="00000000"/>
  </w:font>
  <w:font w:name="Comic_Sans_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4853094"/>
      <w:docPartObj>
        <w:docPartGallery w:val="Page Numbers (Bottom of Page)"/>
        <w:docPartUnique/>
      </w:docPartObj>
    </w:sdtPr>
    <w:sdtEndPr>
      <w:rPr>
        <w:noProof/>
      </w:rPr>
    </w:sdtEndPr>
    <w:sdtContent>
      <w:p w:rsidR="002A7352" w:rsidRDefault="002A7352">
        <w:pPr>
          <w:pStyle w:val="Footer"/>
          <w:jc w:val="right"/>
        </w:pPr>
        <w:r>
          <w:fldChar w:fldCharType="begin"/>
        </w:r>
        <w:r>
          <w:instrText xml:space="preserve"> PAGE   \* MERGEFORMAT </w:instrText>
        </w:r>
        <w:r>
          <w:fldChar w:fldCharType="separate"/>
        </w:r>
        <w:r w:rsidR="008201E1">
          <w:rPr>
            <w:noProof/>
          </w:rPr>
          <w:t>1</w:t>
        </w:r>
        <w:r>
          <w:rPr>
            <w:noProof/>
          </w:rPr>
          <w:fldChar w:fldCharType="end"/>
        </w:r>
      </w:p>
    </w:sdtContent>
  </w:sdt>
  <w:p w:rsidR="002A7352" w:rsidRDefault="002A73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352" w:rsidRDefault="002A7352" w:rsidP="002A7352">
      <w:pPr>
        <w:spacing w:after="0" w:line="240" w:lineRule="auto"/>
      </w:pPr>
      <w:r>
        <w:separator/>
      </w:r>
    </w:p>
  </w:footnote>
  <w:footnote w:type="continuationSeparator" w:id="0">
    <w:p w:rsidR="002A7352" w:rsidRDefault="002A7352" w:rsidP="002A73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12C03"/>
    <w:multiLevelType w:val="hybridMultilevel"/>
    <w:tmpl w:val="F76EC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FAB"/>
    <w:rsid w:val="001C75F3"/>
    <w:rsid w:val="00244FAB"/>
    <w:rsid w:val="002A7352"/>
    <w:rsid w:val="006559E4"/>
    <w:rsid w:val="00820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44F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735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A735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A735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FAB"/>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244FA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44FAB"/>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2A7352"/>
    <w:pPr>
      <w:spacing w:after="0" w:line="240" w:lineRule="auto"/>
    </w:pPr>
  </w:style>
  <w:style w:type="paragraph" w:customStyle="1" w:styleId="Default">
    <w:name w:val="Default"/>
    <w:rsid w:val="002A735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2A73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7352"/>
  </w:style>
  <w:style w:type="paragraph" w:styleId="Footer">
    <w:name w:val="footer"/>
    <w:basedOn w:val="Normal"/>
    <w:link w:val="FooterChar"/>
    <w:uiPriority w:val="99"/>
    <w:unhideWhenUsed/>
    <w:rsid w:val="002A73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7352"/>
  </w:style>
  <w:style w:type="character" w:customStyle="1" w:styleId="Heading2Char">
    <w:name w:val="Heading 2 Char"/>
    <w:basedOn w:val="DefaultParagraphFont"/>
    <w:link w:val="Heading2"/>
    <w:uiPriority w:val="9"/>
    <w:rsid w:val="002A735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A735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A7352"/>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44FA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A735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A735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2A735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FAB"/>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244FA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44FAB"/>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2A7352"/>
    <w:pPr>
      <w:spacing w:after="0" w:line="240" w:lineRule="auto"/>
    </w:pPr>
  </w:style>
  <w:style w:type="paragraph" w:customStyle="1" w:styleId="Default">
    <w:name w:val="Default"/>
    <w:rsid w:val="002A735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2A73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7352"/>
  </w:style>
  <w:style w:type="paragraph" w:styleId="Footer">
    <w:name w:val="footer"/>
    <w:basedOn w:val="Normal"/>
    <w:link w:val="FooterChar"/>
    <w:uiPriority w:val="99"/>
    <w:unhideWhenUsed/>
    <w:rsid w:val="002A73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7352"/>
  </w:style>
  <w:style w:type="character" w:customStyle="1" w:styleId="Heading2Char">
    <w:name w:val="Heading 2 Char"/>
    <w:basedOn w:val="DefaultParagraphFont"/>
    <w:link w:val="Heading2"/>
    <w:uiPriority w:val="9"/>
    <w:rsid w:val="002A735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A735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2A7352"/>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9</Pages>
  <Words>4786</Words>
  <Characters>27285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Anissa Mohamed</dc:creator>
  <cp:lastModifiedBy>Anissa Mohamed</cp:lastModifiedBy>
  <cp:revision>4</cp:revision>
  <dcterms:created xsi:type="dcterms:W3CDTF">2013-12-26T08:43:00Z</dcterms:created>
  <dcterms:modified xsi:type="dcterms:W3CDTF">2013-12-26T09:55:00Z</dcterms:modified>
</cp:coreProperties>
</file>